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08865" w14:textId="54888EDA" w:rsidR="001C0247" w:rsidRPr="00873C6E" w:rsidRDefault="00C54215" w:rsidP="00786696">
      <w:pPr>
        <w:spacing w:line="360" w:lineRule="auto"/>
      </w:pPr>
      <w:bookmarkStart w:id="0" w:name="_GoBack"/>
      <w:bookmarkEnd w:id="0"/>
      <w:r w:rsidRPr="00F61282">
        <w:rPr>
          <w:b/>
        </w:rPr>
        <w:t>Table 1</w:t>
      </w:r>
      <w:r w:rsidR="001C0247" w:rsidRPr="00F61282">
        <w:rPr>
          <w:b/>
        </w:rPr>
        <w:t xml:space="preserve">.  Summary of Key Pharmacokinetic Data Sets for Chromium in </w:t>
      </w:r>
      <w:r w:rsidR="002A3562">
        <w:rPr>
          <w:b/>
        </w:rPr>
        <w:t>Humans</w:t>
      </w:r>
    </w:p>
    <w:tbl>
      <w:tblPr>
        <w:tblW w:w="12240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1038"/>
        <w:gridCol w:w="1572"/>
        <w:gridCol w:w="2340"/>
        <w:gridCol w:w="720"/>
        <w:gridCol w:w="1260"/>
        <w:gridCol w:w="900"/>
        <w:gridCol w:w="1440"/>
        <w:gridCol w:w="810"/>
        <w:gridCol w:w="2160"/>
      </w:tblGrid>
      <w:tr w:rsidR="004879BD" w:rsidRPr="00E9481A" w14:paraId="2C8337B7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5D2F" w14:textId="77777777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Valence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CD3C0" w14:textId="77777777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Form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45A5F" w14:textId="77777777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Reference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BBE75" w14:textId="77777777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68771" w14:textId="77777777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Exposure</w:t>
            </w:r>
          </w:p>
          <w:p w14:paraId="1476B3F9" w14:textId="77777777" w:rsidR="00260E85" w:rsidRPr="00012E25" w:rsidRDefault="00260E85" w:rsidP="00613A26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1A98" w14:textId="77777777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Plasma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0978" w14:textId="77777777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Erythrocytes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1A4A5" w14:textId="77777777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Urine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38F1" w14:textId="185FD132" w:rsidR="00260E85" w:rsidRPr="00012E25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</w:pPr>
            <w:r w:rsidRPr="00012E25">
              <w:rPr>
                <w:rFonts w:cs="Calibri"/>
                <w:b/>
                <w:color w:val="000000"/>
                <w:sz w:val="20"/>
                <w:szCs w:val="20"/>
                <w:lang w:eastAsia="en-US"/>
              </w:rPr>
              <w:t>Note</w:t>
            </w:r>
          </w:p>
        </w:tc>
      </w:tr>
      <w:tr w:rsidR="004879BD" w:rsidRPr="00E9481A" w14:paraId="59B0133C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29DF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Cr(III)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C17F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Dichromate (reduced in OJ)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F60C6" w14:textId="67928FA8" w:rsidR="00260E85" w:rsidRPr="00E9481A" w:rsidRDefault="00260E85" w:rsidP="002C43A8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Kerger et al.</w:t>
            </w:r>
            <w:r w:rsidR="002C43A8">
              <w:rPr>
                <w:rFonts w:cs="Calibri"/>
                <w:color w:val="000000"/>
                <w:sz w:val="20"/>
                <w:szCs w:val="20"/>
                <w:lang w:eastAsia="en-US"/>
              </w:rPr>
              <w:t>[31]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7F2B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B7C65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1x</w:t>
            </w:r>
          </w:p>
          <w:p w14:paraId="29601E7C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(5 mg)</w:t>
            </w:r>
          </w:p>
          <w:p w14:paraId="677E552F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6D99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771AA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NU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2E5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0B4A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34552B5F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EBC16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8949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Chloride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98193" w14:textId="2CF3BDC5" w:rsidR="00260E85" w:rsidRPr="00E9481A" w:rsidRDefault="009D54E8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Kerger et al.[31]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CA5E4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4EC39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1x</w:t>
            </w:r>
          </w:p>
          <w:p w14:paraId="01C74318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(5 mg)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590E9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52665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N</w:t>
            </w: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48267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B5EE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6352B973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B8B9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4698D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Chloride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1FF9D" w14:textId="526FD626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Anderson et al.</w:t>
            </w:r>
            <w:r w:rsidR="009D54E8">
              <w:rPr>
                <w:rFonts w:cs="Calibri"/>
                <w:color w:val="000000"/>
                <w:sz w:val="20"/>
                <w:szCs w:val="20"/>
                <w:lang w:eastAsia="en-US"/>
              </w:rPr>
              <w:t>[27,28,29]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82F7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17-76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26EDA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3 months</w:t>
            </w:r>
          </w:p>
          <w:p w14:paraId="454393F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(0.2 mg/d)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10EE0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48987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485FF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5600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649068CB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14BBD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37F22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Chloride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0FD5E" w14:textId="26459122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Mohamedshah et al.</w:t>
            </w:r>
            <w:r w:rsidR="009D54E8">
              <w:rPr>
                <w:rFonts w:cs="Calibri"/>
                <w:color w:val="000000"/>
                <w:sz w:val="20"/>
                <w:szCs w:val="20"/>
                <w:lang w:eastAsia="en-US"/>
              </w:rPr>
              <w:t>[30]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B39A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EB1E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3 d</w:t>
            </w: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2A9AC560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(0.4 mg/d)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2C7DF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A813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C85B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1435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7B525BE0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22F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6404F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Picolinate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DD87D" w14:textId="2ED85303" w:rsidR="00260E85" w:rsidRPr="00E9481A" w:rsidRDefault="009D54E8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Lukaski et al.[33]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F95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78452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12 weeks</w:t>
            </w:r>
          </w:p>
          <w:p w14:paraId="75EC2D34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(0.2 mg/d)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F27F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DF7B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A7002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7B9D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19E04A9C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A59A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B6E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Picolinate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5B7F" w14:textId="526D4322" w:rsidR="00260E85" w:rsidRPr="00E9481A" w:rsidRDefault="009D54E8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Volpe et al.[32]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D003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4B166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12 weeks</w:t>
            </w:r>
          </w:p>
          <w:p w14:paraId="59865345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(0.4 mg/d)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56745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767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96CB3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E1C0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72BA3E10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FD9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E74A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Chloride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ED1E2" w14:textId="79B46F3F" w:rsidR="00260E85" w:rsidRPr="00E9481A" w:rsidRDefault="009D54E8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Rubin et al.[34]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6BE6A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3D753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1x</w:t>
            </w:r>
          </w:p>
          <w:p w14:paraId="08F87DC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(0.3 mg)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EAB4A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E07DB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00B9B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A2CE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377F8558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CDF7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97B23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Picolinate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B1AD" w14:textId="5A7F106A" w:rsidR="00260E85" w:rsidRPr="00E9481A" w:rsidRDefault="009D54E8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Gargas et al.[35]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E0A06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3494B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3x</w:t>
            </w:r>
          </w:p>
          <w:p w14:paraId="792F962A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(0.4 mg/d)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0B3E2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1AADB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38A8D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07B5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047167C6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4B99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Cr(VI)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00320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C</w:t>
            </w: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hromate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4B499" w14:textId="74E11EE7" w:rsidR="00260E85" w:rsidRPr="00E9481A" w:rsidRDefault="00432427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Finley et al.[26]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207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7F2C9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3x3d</w:t>
            </w:r>
          </w:p>
          <w:p w14:paraId="04C9FCA3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(0.1, 0.5, 1, 5, 10 mg/d)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DB72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941DE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NU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BF72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F49D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0474A202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6CB4F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47E6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Dichromate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D3737" w14:textId="62C77853" w:rsidR="00260E85" w:rsidRPr="00E9481A" w:rsidRDefault="00432427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Paustenbach et al.[36]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C321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97E08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17 d</w:t>
            </w:r>
          </w:p>
          <w:p w14:paraId="5CE4DA29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(4 mg/d)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24E68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BAC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N</w:t>
            </w: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B1F91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6E24E" w14:textId="32318F7C" w:rsidR="00260E85" w:rsidRPr="00E9481A" w:rsidRDefault="004879BD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 xml:space="preserve">Background levels for Cr in plasma from Finley et al. (1997) were used to calculate </w:t>
            </w:r>
          </w:p>
        </w:tc>
      </w:tr>
      <w:tr w:rsidR="004879BD" w:rsidRPr="00E9481A" w14:paraId="60AF9E17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C7C6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7AE60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Dichromate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829A" w14:textId="126CF0E9" w:rsidR="00260E85" w:rsidRPr="00E9481A" w:rsidRDefault="00432427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Kerger et al.[31]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40CB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96A60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1x</w:t>
            </w:r>
          </w:p>
          <w:p w14:paraId="16A2DC2A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(5 mg/d)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4F155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AF496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N</w:t>
            </w: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84E95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B6ADF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879BD" w:rsidRPr="00E9481A" w14:paraId="0AE849C4" w14:textId="77777777" w:rsidTr="00B17E1E">
        <w:trPr>
          <w:trHeight w:val="30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0B138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B9B84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Dichromate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9FF8E" w14:textId="1662BA55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Goul</w:t>
            </w:r>
            <w:r w:rsidR="00432427">
              <w:rPr>
                <w:rFonts w:cs="Calibri"/>
                <w:color w:val="000000"/>
                <w:sz w:val="20"/>
                <w:szCs w:val="20"/>
                <w:lang w:eastAsia="en-US"/>
              </w:rPr>
              <w:t>lé et al.[42]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DB3F0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CF7B9" w14:textId="77777777" w:rsidR="00260E85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1x</w:t>
            </w:r>
          </w:p>
          <w:p w14:paraId="69B83FA8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(~800 mg)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F0CDC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D454A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153A7" w14:textId="77777777" w:rsidR="00260E85" w:rsidRPr="00E9481A" w:rsidRDefault="00260E85" w:rsidP="00FB0E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 w:rsidRPr="00E9481A">
              <w:rPr>
                <w:rFonts w:cs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2D813" w14:textId="2CE4D47B" w:rsidR="00260E85" w:rsidRPr="00E9481A" w:rsidRDefault="00260E85" w:rsidP="00260E85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Background levels from Anderson et al. (1982, 1983, 1985) and Volpe et al. (2001) use</w:t>
            </w:r>
            <w:r w:rsidR="004879BD">
              <w:rPr>
                <w:rFonts w:cs="Calibri"/>
                <w:color w:val="000000"/>
                <w:sz w:val="20"/>
                <w:szCs w:val="20"/>
                <w:lang w:eastAsia="en-US"/>
              </w:rPr>
              <w:t xml:space="preserve">d o calculate </w:t>
            </w:r>
            <w:r>
              <w:rPr>
                <w:rFonts w:cs="Calibri"/>
                <w:color w:val="000000"/>
                <w:sz w:val="20"/>
                <w:szCs w:val="20"/>
                <w:lang w:eastAsia="en-US"/>
              </w:rPr>
              <w:t>added Cr</w:t>
            </w:r>
          </w:p>
        </w:tc>
      </w:tr>
    </w:tbl>
    <w:p w14:paraId="45ECE145" w14:textId="77777777" w:rsidR="00CC3718" w:rsidRPr="005C4217" w:rsidRDefault="005C4217" w:rsidP="005C4217">
      <w:pPr>
        <w:rPr>
          <w:sz w:val="20"/>
          <w:szCs w:val="20"/>
        </w:rPr>
        <w:sectPr w:rsidR="00CC3718" w:rsidRPr="005C4217" w:rsidSect="00CB2F3E">
          <w:headerReference w:type="default" r:id="rId9"/>
          <w:footerReference w:type="even" r:id="rId10"/>
          <w:footerReference w:type="default" r:id="rId11"/>
          <w:pgSz w:w="15840" w:h="12240" w:orient="landscape"/>
          <w:pgMar w:top="1800" w:right="1440" w:bottom="1800" w:left="1440" w:header="720" w:footer="720" w:gutter="0"/>
          <w:cols w:space="720"/>
        </w:sectPr>
      </w:pPr>
      <w:r w:rsidRPr="005C4217">
        <w:rPr>
          <w:sz w:val="20"/>
          <w:szCs w:val="20"/>
        </w:rPr>
        <w:lastRenderedPageBreak/>
        <w:t>NU = not used due to concerns that erythrocytes were not sufficiently rinsed to remove Cr from the erythrocyte cell membrane</w:t>
      </w:r>
      <w:r w:rsidR="00146AC6">
        <w:rPr>
          <w:sz w:val="20"/>
          <w:szCs w:val="20"/>
        </w:rPr>
        <w:t xml:space="preserve"> (personal communication, B.Kerger)</w:t>
      </w:r>
      <w:r w:rsidRPr="005C4217">
        <w:rPr>
          <w:sz w:val="20"/>
          <w:szCs w:val="20"/>
        </w:rPr>
        <w:t>.</w:t>
      </w:r>
    </w:p>
    <w:p w14:paraId="0B2376FA" w14:textId="10163806" w:rsidR="00855C6A" w:rsidRPr="000207CA" w:rsidRDefault="008D098F" w:rsidP="00786696">
      <w:pPr>
        <w:spacing w:line="360" w:lineRule="auto"/>
        <w:rPr>
          <w:b/>
        </w:rPr>
      </w:pPr>
      <w:r>
        <w:rPr>
          <w:b/>
        </w:rPr>
        <w:t xml:space="preserve">Table </w:t>
      </w:r>
      <w:r w:rsidR="00D3695C">
        <w:rPr>
          <w:b/>
        </w:rPr>
        <w:t>2</w:t>
      </w:r>
      <w:r w:rsidR="00855C6A" w:rsidRPr="00A65D93">
        <w:rPr>
          <w:b/>
        </w:rPr>
        <w:t xml:space="preserve">.  </w:t>
      </w:r>
      <w:r w:rsidR="00F1749A">
        <w:rPr>
          <w:b/>
        </w:rPr>
        <w:t xml:space="preserve">GI </w:t>
      </w:r>
      <w:r w:rsidR="0009108B">
        <w:rPr>
          <w:b/>
        </w:rPr>
        <w:t>Model</w:t>
      </w:r>
      <w:r w:rsidR="00855C6A" w:rsidRPr="00A65D93">
        <w:rPr>
          <w:b/>
        </w:rPr>
        <w:t xml:space="preserve"> Parameters</w:t>
      </w:r>
    </w:p>
    <w:tbl>
      <w:tblPr>
        <w:tblW w:w="1377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880"/>
        <w:gridCol w:w="900"/>
        <w:gridCol w:w="900"/>
        <w:gridCol w:w="1530"/>
        <w:gridCol w:w="6300"/>
      </w:tblGrid>
      <w:tr w:rsidR="006D2482" w:rsidRPr="007C4158" w14:paraId="704E7C03" w14:textId="77777777" w:rsidTr="00074E98">
        <w:tc>
          <w:tcPr>
            <w:tcW w:w="1260" w:type="dxa"/>
          </w:tcPr>
          <w:p w14:paraId="6A97FACF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14:paraId="637DB48F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14:paraId="6884B839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14:paraId="469C6096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14:paraId="78323A53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14:paraId="39F46835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6D2482" w:rsidRPr="007C4158" w14:paraId="75B71FDE" w14:textId="77777777" w:rsidTr="00074E98">
        <w:tc>
          <w:tcPr>
            <w:tcW w:w="1260" w:type="dxa"/>
          </w:tcPr>
          <w:p w14:paraId="0DF8793A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Group</w:t>
            </w:r>
          </w:p>
        </w:tc>
        <w:tc>
          <w:tcPr>
            <w:tcW w:w="2880" w:type="dxa"/>
          </w:tcPr>
          <w:p w14:paraId="104F5C8C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900" w:type="dxa"/>
          </w:tcPr>
          <w:p w14:paraId="4F9E1C5C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Symbol</w:t>
            </w:r>
          </w:p>
        </w:tc>
        <w:tc>
          <w:tcPr>
            <w:tcW w:w="900" w:type="dxa"/>
          </w:tcPr>
          <w:p w14:paraId="7FB2C36B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Units</w:t>
            </w:r>
          </w:p>
        </w:tc>
        <w:tc>
          <w:tcPr>
            <w:tcW w:w="1530" w:type="dxa"/>
          </w:tcPr>
          <w:p w14:paraId="07FFE373" w14:textId="77777777" w:rsidR="006D2482" w:rsidRPr="007C4158" w:rsidRDefault="006D2482" w:rsidP="001958DC">
            <w:pPr>
              <w:spacing w:line="36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Adult</w:t>
            </w:r>
          </w:p>
        </w:tc>
        <w:tc>
          <w:tcPr>
            <w:tcW w:w="6300" w:type="dxa"/>
          </w:tcPr>
          <w:p w14:paraId="7EC564C0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Source</w:t>
            </w:r>
          </w:p>
        </w:tc>
      </w:tr>
      <w:tr w:rsidR="006D2482" w:rsidRPr="007C4158" w14:paraId="7F0FABBB" w14:textId="77777777" w:rsidTr="00074E98">
        <w:tc>
          <w:tcPr>
            <w:tcW w:w="1260" w:type="dxa"/>
          </w:tcPr>
          <w:p w14:paraId="0D4E8D4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Tissue Volumes</w:t>
            </w:r>
          </w:p>
        </w:tc>
        <w:tc>
          <w:tcPr>
            <w:tcW w:w="2880" w:type="dxa"/>
          </w:tcPr>
          <w:p w14:paraId="198D7EA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Duodenum</w:t>
            </w:r>
          </w:p>
          <w:p w14:paraId="643FD10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Ileum</w:t>
            </w:r>
          </w:p>
          <w:p w14:paraId="7F432B58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Jejunum</w:t>
            </w:r>
          </w:p>
          <w:p w14:paraId="6E637A7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Stomach</w:t>
            </w:r>
          </w:p>
        </w:tc>
        <w:tc>
          <w:tcPr>
            <w:tcW w:w="900" w:type="dxa"/>
          </w:tcPr>
          <w:p w14:paraId="795DBA8F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vdc</w:t>
            </w:r>
          </w:p>
          <w:p w14:paraId="1BCAFB0F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vic</w:t>
            </w:r>
          </w:p>
          <w:p w14:paraId="550E32B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vjc</w:t>
            </w:r>
          </w:p>
          <w:p w14:paraId="7B68D07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vsc</w:t>
            </w:r>
          </w:p>
        </w:tc>
        <w:tc>
          <w:tcPr>
            <w:tcW w:w="900" w:type="dxa"/>
          </w:tcPr>
          <w:p w14:paraId="7F123AA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 (fraction of body weight)</w:t>
            </w:r>
          </w:p>
        </w:tc>
        <w:tc>
          <w:tcPr>
            <w:tcW w:w="1530" w:type="dxa"/>
          </w:tcPr>
          <w:p w14:paraId="7960CED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0.00077</w:t>
            </w:r>
          </w:p>
          <w:p w14:paraId="11EBF48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0.0042</w:t>
            </w:r>
          </w:p>
          <w:p w14:paraId="371DC28E" w14:textId="0FA37008" w:rsidR="00503A41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0.0038</w:t>
            </w:r>
          </w:p>
          <w:p w14:paraId="19CEDF4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0.00</w:t>
            </w:r>
            <w:r w:rsidR="00DE7CA9">
              <w:rPr>
                <w:sz w:val="16"/>
                <w:szCs w:val="16"/>
              </w:rPr>
              <w:t>21</w:t>
            </w:r>
          </w:p>
        </w:tc>
        <w:tc>
          <w:tcPr>
            <w:tcW w:w="6300" w:type="dxa"/>
          </w:tcPr>
          <w:p w14:paraId="3058AF77" w14:textId="430BF95C" w:rsidR="006D2482" w:rsidRPr="007C4158" w:rsidRDefault="00ED644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Tissue volumes </w:t>
            </w:r>
            <w:r w:rsidR="00D177A3">
              <w:rPr>
                <w:sz w:val="16"/>
                <w:szCs w:val="16"/>
              </w:rPr>
              <w:t xml:space="preserve">for all GI tissues </w:t>
            </w:r>
            <w:r w:rsidR="00262AFE">
              <w:rPr>
                <w:sz w:val="16"/>
                <w:szCs w:val="16"/>
              </w:rPr>
              <w:t xml:space="preserve">reflect values for adults </w:t>
            </w:r>
            <w:r w:rsidR="00D177A3">
              <w:rPr>
                <w:sz w:val="16"/>
                <w:szCs w:val="16"/>
              </w:rPr>
              <w:t xml:space="preserve">from </w:t>
            </w:r>
            <w:r w:rsidR="00432427">
              <w:rPr>
                <w:sz w:val="16"/>
                <w:szCs w:val="16"/>
              </w:rPr>
              <w:t>ICRP[45]</w:t>
            </w:r>
            <w:r w:rsidR="002A2245">
              <w:rPr>
                <w:sz w:val="16"/>
                <w:szCs w:val="16"/>
              </w:rPr>
              <w:t>.</w:t>
            </w:r>
          </w:p>
          <w:p w14:paraId="555027B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6D2482" w:rsidRPr="007C4158" w14:paraId="1CBE717E" w14:textId="77777777" w:rsidTr="00074E98">
        <w:tc>
          <w:tcPr>
            <w:tcW w:w="1260" w:type="dxa"/>
          </w:tcPr>
          <w:p w14:paraId="173C1D7F" w14:textId="0BBD7FA1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Blood Flows</w:t>
            </w:r>
          </w:p>
        </w:tc>
        <w:tc>
          <w:tcPr>
            <w:tcW w:w="2880" w:type="dxa"/>
          </w:tcPr>
          <w:p w14:paraId="78444EA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Duodenum</w:t>
            </w:r>
          </w:p>
          <w:p w14:paraId="6F8A3B6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Ileum</w:t>
            </w:r>
          </w:p>
          <w:p w14:paraId="2514C27F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Jejunum</w:t>
            </w:r>
          </w:p>
          <w:p w14:paraId="59FF193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Stomach</w:t>
            </w:r>
          </w:p>
        </w:tc>
        <w:tc>
          <w:tcPr>
            <w:tcW w:w="900" w:type="dxa"/>
          </w:tcPr>
          <w:p w14:paraId="2A7635B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qdc</w:t>
            </w:r>
          </w:p>
          <w:p w14:paraId="13F7307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qic</w:t>
            </w:r>
          </w:p>
          <w:p w14:paraId="0D0B9C5A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qjc</w:t>
            </w:r>
          </w:p>
          <w:p w14:paraId="0DD1D53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qsc</w:t>
            </w:r>
          </w:p>
        </w:tc>
        <w:tc>
          <w:tcPr>
            <w:tcW w:w="900" w:type="dxa"/>
          </w:tcPr>
          <w:p w14:paraId="45ECB9FA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 (fraction of portal flow or cardiac output)</w:t>
            </w:r>
          </w:p>
        </w:tc>
        <w:tc>
          <w:tcPr>
            <w:tcW w:w="1530" w:type="dxa"/>
          </w:tcPr>
          <w:p w14:paraId="25A78B5B" w14:textId="65189513" w:rsidR="006D2482" w:rsidRPr="007C4158" w:rsidRDefault="00503A41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</w:t>
            </w:r>
          </w:p>
          <w:p w14:paraId="2799EC3D" w14:textId="77777777" w:rsidR="006D2482" w:rsidRPr="007C4158" w:rsidRDefault="00DE7CA9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</w:t>
            </w:r>
          </w:p>
          <w:p w14:paraId="03D1AF51" w14:textId="5D3A4632" w:rsidR="006D2482" w:rsidRPr="007C4158" w:rsidRDefault="00DE7CA9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0.35</w:t>
            </w:r>
          </w:p>
          <w:p w14:paraId="1E3F5CB7" w14:textId="77777777" w:rsidR="006D2482" w:rsidRPr="007C4158" w:rsidRDefault="00DE7CA9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0.19</w:t>
            </w:r>
          </w:p>
        </w:tc>
        <w:tc>
          <w:tcPr>
            <w:tcW w:w="6300" w:type="dxa"/>
          </w:tcPr>
          <w:p w14:paraId="7FD4AB59" w14:textId="2B75E4AD" w:rsidR="006D2482" w:rsidRPr="007C4158" w:rsidRDefault="006D2482" w:rsidP="002A2245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Fraction</w:t>
            </w:r>
            <w:r w:rsidR="002A2245">
              <w:rPr>
                <w:sz w:val="16"/>
                <w:szCs w:val="16"/>
              </w:rPr>
              <w:t>s</w:t>
            </w:r>
            <w:r w:rsidRPr="007C4158">
              <w:rPr>
                <w:sz w:val="16"/>
                <w:szCs w:val="16"/>
              </w:rPr>
              <w:t xml:space="preserve"> of portal blood flows were assumed to be proportionate to tissue fractions of body weight.</w:t>
            </w:r>
          </w:p>
        </w:tc>
      </w:tr>
      <w:tr w:rsidR="006D2482" w:rsidRPr="007C4158" w14:paraId="3B7FA70C" w14:textId="77777777" w:rsidTr="00074E98">
        <w:tc>
          <w:tcPr>
            <w:tcW w:w="1260" w:type="dxa"/>
          </w:tcPr>
          <w:p w14:paraId="5114A18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Transit</w:t>
            </w:r>
          </w:p>
        </w:tc>
        <w:tc>
          <w:tcPr>
            <w:tcW w:w="2880" w:type="dxa"/>
          </w:tcPr>
          <w:p w14:paraId="39D10E38" w14:textId="222427D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Stomach to Duodenum</w:t>
            </w:r>
          </w:p>
          <w:p w14:paraId="241B44D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Duodenum to Jejunum</w:t>
            </w:r>
          </w:p>
          <w:p w14:paraId="452C1B4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Jejunum to Ileum</w:t>
            </w:r>
            <w:r w:rsidRPr="007C4158">
              <w:rPr>
                <w:sz w:val="16"/>
                <w:szCs w:val="16"/>
              </w:rPr>
              <w:tab/>
            </w:r>
          </w:p>
          <w:p w14:paraId="481E8D31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Ileum to Large Int.</w:t>
            </w:r>
          </w:p>
          <w:p w14:paraId="571B5EF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Large Int. to Feces</w:t>
            </w:r>
          </w:p>
        </w:tc>
        <w:tc>
          <w:tcPr>
            <w:tcW w:w="900" w:type="dxa"/>
          </w:tcPr>
          <w:p w14:paraId="0989D4B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klsd</w:t>
            </w:r>
          </w:p>
          <w:p w14:paraId="07B1912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kldj</w:t>
            </w:r>
          </w:p>
          <w:p w14:paraId="421B1D0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klji</w:t>
            </w:r>
          </w:p>
          <w:p w14:paraId="2535596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klil</w:t>
            </w:r>
          </w:p>
          <w:p w14:paraId="0AB49A2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kfx</w:t>
            </w:r>
          </w:p>
        </w:tc>
        <w:tc>
          <w:tcPr>
            <w:tcW w:w="900" w:type="dxa"/>
          </w:tcPr>
          <w:p w14:paraId="4D8B28D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hr</w:t>
            </w:r>
            <w:r w:rsidRPr="007C4158">
              <w:rPr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1530" w:type="dxa"/>
          </w:tcPr>
          <w:p w14:paraId="37EE2C97" w14:textId="77777777" w:rsidR="006D2482" w:rsidRPr="007C4158" w:rsidRDefault="00B859FC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  <w:p w14:paraId="4731774B" w14:textId="77777777" w:rsidR="006D2482" w:rsidRPr="007C4158" w:rsidRDefault="00B859FC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  <w:p w14:paraId="4FBA5B4D" w14:textId="77777777" w:rsidR="006D2482" w:rsidRPr="007C4158" w:rsidRDefault="00B859FC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0.94</w:t>
            </w:r>
          </w:p>
          <w:p w14:paraId="3B4D77C2" w14:textId="77777777" w:rsidR="006D2482" w:rsidRPr="007C4158" w:rsidRDefault="00B859FC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  <w:p w14:paraId="25F81EB3" w14:textId="77777777" w:rsidR="006D2482" w:rsidRPr="007C4158" w:rsidRDefault="00B859FC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0.039</w:t>
            </w:r>
          </w:p>
        </w:tc>
        <w:tc>
          <w:tcPr>
            <w:tcW w:w="6300" w:type="dxa"/>
          </w:tcPr>
          <w:p w14:paraId="3ABE8EF9" w14:textId="628119E2" w:rsidR="006D2482" w:rsidRPr="007C4158" w:rsidRDefault="00D177A3" w:rsidP="0043242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GI transit rates for total diet in adult males were adopted </w:t>
            </w:r>
            <w:r w:rsidR="00DE69DE">
              <w:rPr>
                <w:sz w:val="16"/>
                <w:szCs w:val="16"/>
              </w:rPr>
              <w:t>as constants for simulations fit to data</w:t>
            </w:r>
            <w:r w:rsidR="00432427">
              <w:rPr>
                <w:sz w:val="16"/>
                <w:szCs w:val="16"/>
              </w:rPr>
              <w:t>[45]</w:t>
            </w:r>
            <w:r>
              <w:rPr>
                <w:sz w:val="16"/>
                <w:szCs w:val="16"/>
              </w:rPr>
              <w:t xml:space="preserve">.  </w:t>
            </w:r>
            <w:r w:rsidR="00DE69DE">
              <w:rPr>
                <w:sz w:val="16"/>
                <w:szCs w:val="16"/>
              </w:rPr>
              <w:t xml:space="preserve">Transit rate constants for each GI section were calculated as ln(2) divided by the transit halftime (estimates as ICRP transit times divided by 2).  </w:t>
            </w:r>
            <w:r>
              <w:rPr>
                <w:sz w:val="16"/>
                <w:szCs w:val="16"/>
              </w:rPr>
              <w:t>Transit rates for the small intestines sections were apportioned by relative length of the duodenum, jejunum, and ileum</w:t>
            </w:r>
            <w:r w:rsidR="00262AFE">
              <w:rPr>
                <w:sz w:val="16"/>
                <w:szCs w:val="16"/>
              </w:rPr>
              <w:t xml:space="preserve"> </w:t>
            </w:r>
            <w:r w:rsidR="00503A41">
              <w:rPr>
                <w:sz w:val="16"/>
                <w:szCs w:val="16"/>
              </w:rPr>
              <w:t>as reported in ICRP</w:t>
            </w:r>
            <w:r w:rsidR="00432427">
              <w:rPr>
                <w:sz w:val="16"/>
                <w:szCs w:val="16"/>
              </w:rPr>
              <w:t>[45]</w:t>
            </w:r>
            <w:r>
              <w:rPr>
                <w:sz w:val="16"/>
                <w:szCs w:val="16"/>
              </w:rPr>
              <w:t>.</w:t>
            </w:r>
            <w:r w:rsidR="006D2482" w:rsidRPr="007C4158">
              <w:rPr>
                <w:sz w:val="16"/>
                <w:szCs w:val="16"/>
              </w:rPr>
              <w:t xml:space="preserve"> </w:t>
            </w:r>
          </w:p>
        </w:tc>
      </w:tr>
      <w:tr w:rsidR="006D2482" w:rsidRPr="007C4158" w14:paraId="50564650" w14:textId="77777777" w:rsidTr="00074E98">
        <w:tc>
          <w:tcPr>
            <w:tcW w:w="1260" w:type="dxa"/>
          </w:tcPr>
          <w:p w14:paraId="2B3840D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Lumen Content Rates</w:t>
            </w:r>
          </w:p>
        </w:tc>
        <w:tc>
          <w:tcPr>
            <w:tcW w:w="2880" w:type="dxa"/>
          </w:tcPr>
          <w:p w14:paraId="281D3F6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Food Intake</w:t>
            </w:r>
          </w:p>
          <w:p w14:paraId="0515C8C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Water Intake</w:t>
            </w:r>
          </w:p>
          <w:p w14:paraId="2FC35D6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Saliva Production</w:t>
            </w:r>
          </w:p>
          <w:p w14:paraId="74E2B7E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Gastric Fluid Production</w:t>
            </w:r>
          </w:p>
        </w:tc>
        <w:tc>
          <w:tcPr>
            <w:tcW w:w="900" w:type="dxa"/>
          </w:tcPr>
          <w:p w14:paraId="38B59B9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rfood</w:t>
            </w:r>
          </w:p>
          <w:p w14:paraId="2A1FC48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rdrink</w:t>
            </w:r>
          </w:p>
          <w:p w14:paraId="1FC4525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rsal</w:t>
            </w:r>
          </w:p>
          <w:p w14:paraId="49982D9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rgif</w:t>
            </w:r>
          </w:p>
          <w:p w14:paraId="6E1922F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14:paraId="555E366A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L/hr*kg</w:t>
            </w:r>
          </w:p>
        </w:tc>
        <w:tc>
          <w:tcPr>
            <w:tcW w:w="1530" w:type="dxa"/>
          </w:tcPr>
          <w:p w14:paraId="1A5A69A3" w14:textId="77777777" w:rsidR="006D2482" w:rsidRPr="007C4158" w:rsidRDefault="00B859FC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  <w:r w:rsidR="00C802B9">
              <w:rPr>
                <w:sz w:val="16"/>
                <w:szCs w:val="16"/>
              </w:rPr>
              <w:t>067</w:t>
            </w:r>
          </w:p>
          <w:p w14:paraId="19933FA0" w14:textId="47E02690" w:rsidR="006D2482" w:rsidRPr="007C4158" w:rsidRDefault="00B859FC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</w:t>
            </w:r>
            <w:r w:rsidR="00B23704">
              <w:rPr>
                <w:sz w:val="16"/>
                <w:szCs w:val="16"/>
              </w:rPr>
              <w:t>57</w:t>
            </w:r>
          </w:p>
          <w:p w14:paraId="40FC9373" w14:textId="5711600E" w:rsidR="006D2482" w:rsidRPr="007C4158" w:rsidRDefault="00B2370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0.00063</w:t>
            </w:r>
          </w:p>
          <w:p w14:paraId="34B170B4" w14:textId="7ACC0036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="00B23704">
              <w:rPr>
                <w:sz w:val="16"/>
                <w:szCs w:val="16"/>
              </w:rPr>
              <w:t>0</w:t>
            </w:r>
          </w:p>
        </w:tc>
        <w:tc>
          <w:tcPr>
            <w:tcW w:w="6300" w:type="dxa"/>
          </w:tcPr>
          <w:p w14:paraId="163D7FA3" w14:textId="418C12FB" w:rsidR="006D2482" w:rsidRPr="007C4158" w:rsidRDefault="00C802B9" w:rsidP="0043242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Average intake rates</w:t>
            </w:r>
            <w:r w:rsidRPr="007C415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were </w:t>
            </w:r>
            <w:r w:rsidR="00B859FC">
              <w:rPr>
                <w:sz w:val="16"/>
                <w:szCs w:val="16"/>
              </w:rPr>
              <w:t xml:space="preserve">assumed </w:t>
            </w:r>
            <w:r w:rsidR="006D2482" w:rsidRPr="007C4158">
              <w:rPr>
                <w:sz w:val="16"/>
                <w:szCs w:val="16"/>
              </w:rPr>
              <w:t xml:space="preserve">for food </w:t>
            </w:r>
            <w:r>
              <w:rPr>
                <w:sz w:val="16"/>
                <w:szCs w:val="16"/>
              </w:rPr>
              <w:t>(16 g/kg-day)</w:t>
            </w:r>
            <w:r w:rsidR="00262AFE">
              <w:rPr>
                <w:sz w:val="16"/>
                <w:szCs w:val="16"/>
              </w:rPr>
              <w:t xml:space="preserve"> </w:t>
            </w:r>
            <w:r w:rsidR="006D2482" w:rsidRPr="007C4158">
              <w:rPr>
                <w:sz w:val="16"/>
                <w:szCs w:val="16"/>
              </w:rPr>
              <w:t>and water</w:t>
            </w:r>
            <w:r>
              <w:rPr>
                <w:sz w:val="16"/>
                <w:szCs w:val="16"/>
              </w:rPr>
              <w:t xml:space="preserve"> (1.1 L/d), normalized to average body weight of </w:t>
            </w:r>
            <w:r w:rsidR="00262AFE">
              <w:rPr>
                <w:sz w:val="16"/>
                <w:szCs w:val="16"/>
              </w:rPr>
              <w:t>80</w:t>
            </w:r>
            <w:r>
              <w:rPr>
                <w:sz w:val="16"/>
                <w:szCs w:val="16"/>
              </w:rPr>
              <w:t xml:space="preserve"> kg</w:t>
            </w:r>
            <w:r w:rsidR="00432427">
              <w:rPr>
                <w:sz w:val="16"/>
                <w:szCs w:val="16"/>
              </w:rPr>
              <w:t>[69]</w:t>
            </w:r>
            <w:r w:rsidR="00B859FC">
              <w:rPr>
                <w:sz w:val="16"/>
                <w:szCs w:val="16"/>
              </w:rPr>
              <w:t xml:space="preserve">.  Salivation and gastric fluid production rates </w:t>
            </w:r>
            <w:r w:rsidR="00262AFE">
              <w:rPr>
                <w:sz w:val="16"/>
                <w:szCs w:val="16"/>
              </w:rPr>
              <w:t xml:space="preserve">were </w:t>
            </w:r>
            <w:r w:rsidR="00B859FC">
              <w:rPr>
                <w:sz w:val="16"/>
                <w:szCs w:val="16"/>
              </w:rPr>
              <w:t>calculated from ICRP</w:t>
            </w:r>
            <w:r w:rsidR="00432427">
              <w:rPr>
                <w:sz w:val="16"/>
                <w:szCs w:val="16"/>
              </w:rPr>
              <w:t>[45]</w:t>
            </w:r>
            <w:r w:rsidR="00B859FC">
              <w:rPr>
                <w:sz w:val="16"/>
                <w:szCs w:val="16"/>
              </w:rPr>
              <w:t>.</w:t>
            </w:r>
          </w:p>
        </w:tc>
      </w:tr>
      <w:tr w:rsidR="006D2482" w:rsidRPr="007C4158" w14:paraId="4F535CA7" w14:textId="77777777" w:rsidTr="00074E98">
        <w:tc>
          <w:tcPr>
            <w:tcW w:w="1260" w:type="dxa"/>
          </w:tcPr>
          <w:p w14:paraId="18D44A7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Lumen Volumes</w:t>
            </w:r>
          </w:p>
        </w:tc>
        <w:tc>
          <w:tcPr>
            <w:tcW w:w="2880" w:type="dxa"/>
          </w:tcPr>
          <w:p w14:paraId="2338DA0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Stomach lumen volume</w:t>
            </w:r>
          </w:p>
          <w:p w14:paraId="5710CD2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Duodenum lumen volume</w:t>
            </w:r>
          </w:p>
          <w:p w14:paraId="3A9B3B1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Jejunum lumen volume</w:t>
            </w:r>
          </w:p>
          <w:p w14:paraId="7037C19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Ileum lumen volume</w:t>
            </w:r>
          </w:p>
        </w:tc>
        <w:tc>
          <w:tcPr>
            <w:tcW w:w="900" w:type="dxa"/>
          </w:tcPr>
          <w:p w14:paraId="260AB9F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vslc</w:t>
            </w:r>
          </w:p>
          <w:p w14:paraId="048BFE3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vdlc</w:t>
            </w:r>
          </w:p>
          <w:p w14:paraId="09A519A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vjlc</w:t>
            </w:r>
          </w:p>
          <w:p w14:paraId="1DD66EB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vilc</w:t>
            </w:r>
          </w:p>
        </w:tc>
        <w:tc>
          <w:tcPr>
            <w:tcW w:w="900" w:type="dxa"/>
          </w:tcPr>
          <w:p w14:paraId="46633CA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Fraction body weight</w:t>
            </w:r>
          </w:p>
        </w:tc>
        <w:tc>
          <w:tcPr>
            <w:tcW w:w="1530" w:type="dxa"/>
          </w:tcPr>
          <w:p w14:paraId="681A8D09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0.0034</w:t>
            </w:r>
          </w:p>
          <w:p w14:paraId="5DA17F37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0.00038</w:t>
            </w:r>
          </w:p>
          <w:p w14:paraId="179A3EDE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0.0018</w:t>
            </w:r>
          </w:p>
          <w:p w14:paraId="136A94FB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0.0026</w:t>
            </w:r>
          </w:p>
        </w:tc>
        <w:tc>
          <w:tcPr>
            <w:tcW w:w="6300" w:type="dxa"/>
          </w:tcPr>
          <w:p w14:paraId="7AE21BD9" w14:textId="486813D1" w:rsidR="006D2482" w:rsidRPr="007C4158" w:rsidRDefault="002F1AE8" w:rsidP="0043242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GI lumen volumes are from </w:t>
            </w:r>
            <w:r w:rsidR="00574824">
              <w:rPr>
                <w:sz w:val="16"/>
                <w:szCs w:val="16"/>
              </w:rPr>
              <w:t>ICRP</w:t>
            </w:r>
            <w:r w:rsidR="00432427">
              <w:rPr>
                <w:sz w:val="16"/>
                <w:szCs w:val="16"/>
              </w:rPr>
              <w:t>[45]</w:t>
            </w:r>
            <w:r>
              <w:rPr>
                <w:sz w:val="16"/>
                <w:szCs w:val="16"/>
              </w:rPr>
              <w:t>.  Lumen volumes for the small intestines sections were apportioned by relative length of the duodenum, jejunum, and ileum.</w:t>
            </w:r>
          </w:p>
        </w:tc>
      </w:tr>
      <w:tr w:rsidR="006D2482" w:rsidRPr="007C4158" w14:paraId="70DB0974" w14:textId="77777777" w:rsidTr="00074E98">
        <w:tc>
          <w:tcPr>
            <w:tcW w:w="1260" w:type="dxa"/>
          </w:tcPr>
          <w:p w14:paraId="4C164038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Lumen</w:t>
            </w:r>
          </w:p>
          <w:p w14:paraId="0CAA7E1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pH</w:t>
            </w:r>
          </w:p>
        </w:tc>
        <w:tc>
          <w:tcPr>
            <w:tcW w:w="2880" w:type="dxa"/>
          </w:tcPr>
          <w:p w14:paraId="03B4C2E1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Stomach pH</w:t>
            </w:r>
          </w:p>
          <w:p w14:paraId="48A4E8E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Duodenum pH</w:t>
            </w:r>
          </w:p>
          <w:p w14:paraId="79871A5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Jejunum pH</w:t>
            </w:r>
          </w:p>
          <w:p w14:paraId="4F0964B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Ileum pH</w:t>
            </w:r>
          </w:p>
        </w:tc>
        <w:tc>
          <w:tcPr>
            <w:tcW w:w="900" w:type="dxa"/>
          </w:tcPr>
          <w:p w14:paraId="366907C3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</w:t>
            </w:r>
            <w:r w:rsidR="006D2482" w:rsidRPr="007C4158">
              <w:rPr>
                <w:sz w:val="16"/>
                <w:szCs w:val="16"/>
              </w:rPr>
              <w:t>s</w:t>
            </w:r>
          </w:p>
          <w:p w14:paraId="765B8A6B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</w:t>
            </w:r>
            <w:r w:rsidR="006D2482" w:rsidRPr="007C4158">
              <w:rPr>
                <w:sz w:val="16"/>
                <w:szCs w:val="16"/>
              </w:rPr>
              <w:t>d</w:t>
            </w:r>
          </w:p>
          <w:p w14:paraId="30DA2F1F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</w:t>
            </w:r>
            <w:r w:rsidR="006D2482" w:rsidRPr="007C4158">
              <w:rPr>
                <w:sz w:val="16"/>
                <w:szCs w:val="16"/>
              </w:rPr>
              <w:t>j</w:t>
            </w:r>
          </w:p>
          <w:p w14:paraId="3D4E82AA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</w:t>
            </w:r>
            <w:r w:rsidR="006D2482" w:rsidRPr="007C4158">
              <w:rPr>
                <w:sz w:val="16"/>
                <w:szCs w:val="16"/>
              </w:rPr>
              <w:t>i</w:t>
            </w:r>
          </w:p>
        </w:tc>
        <w:tc>
          <w:tcPr>
            <w:tcW w:w="900" w:type="dxa"/>
          </w:tcPr>
          <w:p w14:paraId="07F79BC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</w:tc>
        <w:tc>
          <w:tcPr>
            <w:tcW w:w="1530" w:type="dxa"/>
          </w:tcPr>
          <w:p w14:paraId="411F3FD0" w14:textId="010B1CD6" w:rsidR="006D2482" w:rsidRPr="007C4158" w:rsidRDefault="007822C6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  <w:p w14:paraId="66DFDC56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514BDEA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  <w:p w14:paraId="77C67858" w14:textId="77777777" w:rsidR="006D2482" w:rsidRPr="007C4158" w:rsidRDefault="0057482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300" w:type="dxa"/>
          </w:tcPr>
          <w:p w14:paraId="1403CCF8" w14:textId="3BF0307F" w:rsidR="006D2482" w:rsidRPr="007C4158" w:rsidRDefault="00F028B9" w:rsidP="00936D45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gastric pH of 2.5 was considered to reflect a daily </w:t>
            </w:r>
            <w:r w:rsidR="007822C6">
              <w:rPr>
                <w:sz w:val="16"/>
                <w:szCs w:val="16"/>
              </w:rPr>
              <w:t xml:space="preserve">time-weighted </w:t>
            </w:r>
            <w:r>
              <w:rPr>
                <w:sz w:val="16"/>
                <w:szCs w:val="16"/>
              </w:rPr>
              <w:t xml:space="preserve">average value over fed and fasted states based on review of data </w:t>
            </w:r>
            <w:r w:rsidR="002F1AE8">
              <w:rPr>
                <w:sz w:val="16"/>
                <w:szCs w:val="16"/>
              </w:rPr>
              <w:t>on diurnal variation in humans</w:t>
            </w:r>
            <w:r w:rsidR="00432427">
              <w:rPr>
                <w:sz w:val="16"/>
                <w:szCs w:val="16"/>
              </w:rPr>
              <w:t>[24,47,65,67,68]</w:t>
            </w:r>
          </w:p>
        </w:tc>
      </w:tr>
      <w:tr w:rsidR="006D2482" w:rsidRPr="007C4158" w14:paraId="4C19A062" w14:textId="77777777" w:rsidTr="00074E98">
        <w:tc>
          <w:tcPr>
            <w:tcW w:w="1260" w:type="dxa"/>
          </w:tcPr>
          <w:p w14:paraId="1E068C4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Reduction</w:t>
            </w:r>
          </w:p>
        </w:tc>
        <w:tc>
          <w:tcPr>
            <w:tcW w:w="2880" w:type="dxa"/>
          </w:tcPr>
          <w:p w14:paraId="7C40FB7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Reducing equivalents in gastric fluid</w:t>
            </w:r>
          </w:p>
          <w:p w14:paraId="63FC562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pH-Dep 2</w:t>
            </w:r>
            <w:r w:rsidRPr="007C4158">
              <w:rPr>
                <w:sz w:val="16"/>
                <w:szCs w:val="16"/>
                <w:vertAlign w:val="superscript"/>
              </w:rPr>
              <w:t>nd</w:t>
            </w:r>
            <w:r w:rsidRPr="007C4158">
              <w:rPr>
                <w:sz w:val="16"/>
                <w:szCs w:val="16"/>
              </w:rPr>
              <w:t xml:space="preserve"> Order Rate Constant</w:t>
            </w:r>
          </w:p>
          <w:p w14:paraId="6282FB0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Tissue 1</w:t>
            </w:r>
            <w:r w:rsidRPr="007C4158">
              <w:rPr>
                <w:sz w:val="16"/>
                <w:szCs w:val="16"/>
                <w:vertAlign w:val="superscript"/>
              </w:rPr>
              <w:t>st</w:t>
            </w:r>
            <w:r w:rsidRPr="007C4158">
              <w:rPr>
                <w:sz w:val="16"/>
                <w:szCs w:val="16"/>
              </w:rPr>
              <w:t xml:space="preserve"> Order Rate Constant</w:t>
            </w:r>
          </w:p>
        </w:tc>
        <w:tc>
          <w:tcPr>
            <w:tcW w:w="900" w:type="dxa"/>
          </w:tcPr>
          <w:p w14:paraId="55E6017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cre0</w:t>
            </w:r>
          </w:p>
          <w:p w14:paraId="73D3AAC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kredgifc</w:t>
            </w:r>
          </w:p>
          <w:p w14:paraId="1A4B0E4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kredgit</w:t>
            </w:r>
          </w:p>
        </w:tc>
        <w:tc>
          <w:tcPr>
            <w:tcW w:w="900" w:type="dxa"/>
          </w:tcPr>
          <w:p w14:paraId="4C70656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mg/L</w:t>
            </w:r>
          </w:p>
          <w:p w14:paraId="0EF0156A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L/mg*hr</w:t>
            </w:r>
          </w:p>
          <w:p w14:paraId="2B723EE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hr-1</w:t>
            </w:r>
          </w:p>
        </w:tc>
        <w:tc>
          <w:tcPr>
            <w:tcW w:w="1530" w:type="dxa"/>
          </w:tcPr>
          <w:p w14:paraId="58E4E582" w14:textId="25974373" w:rsidR="006D2482" w:rsidRPr="007C4158" w:rsidRDefault="004C2DC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613A26">
              <w:rPr>
                <w:sz w:val="16"/>
                <w:szCs w:val="16"/>
              </w:rPr>
              <w:t>0</w:t>
            </w:r>
          </w:p>
          <w:p w14:paraId="60459D24" w14:textId="77777777" w:rsidR="006D2482" w:rsidRPr="007C4158" w:rsidRDefault="00A9240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44.5</w:t>
            </w:r>
          </w:p>
          <w:p w14:paraId="69AA640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71</w:t>
            </w:r>
          </w:p>
        </w:tc>
        <w:tc>
          <w:tcPr>
            <w:tcW w:w="6300" w:type="dxa"/>
          </w:tcPr>
          <w:p w14:paraId="48CBC38C" w14:textId="7AC630BB" w:rsidR="006D2482" w:rsidRPr="007C4158" w:rsidRDefault="00A53F10" w:rsidP="00936D45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value for r</w:t>
            </w:r>
            <w:r w:rsidR="00EF7E6F">
              <w:rPr>
                <w:sz w:val="16"/>
                <w:szCs w:val="16"/>
              </w:rPr>
              <w:t xml:space="preserve">educing equivalents value is considered to be a representative </w:t>
            </w:r>
            <w:r>
              <w:rPr>
                <w:sz w:val="16"/>
                <w:szCs w:val="16"/>
              </w:rPr>
              <w:t xml:space="preserve">of a </w:t>
            </w:r>
            <w:r w:rsidR="00EF7E6F">
              <w:rPr>
                <w:sz w:val="16"/>
                <w:szCs w:val="16"/>
              </w:rPr>
              <w:t xml:space="preserve">daily average value based upon the range estimated for fasting conditions (4-10 mg/L; </w:t>
            </w:r>
            <w:r w:rsidR="004C2DC3">
              <w:rPr>
                <w:sz w:val="16"/>
                <w:szCs w:val="16"/>
              </w:rPr>
              <w:t xml:space="preserve">range estimated from individual samples </w:t>
            </w:r>
            <w:r w:rsidR="00EF7E6F">
              <w:rPr>
                <w:sz w:val="16"/>
                <w:szCs w:val="16"/>
              </w:rPr>
              <w:t xml:space="preserve">this study) fed conditions </w:t>
            </w:r>
            <w:r w:rsidR="005F4E58">
              <w:rPr>
                <w:sz w:val="16"/>
                <w:szCs w:val="16"/>
              </w:rPr>
              <w:t>(</w:t>
            </w:r>
            <w:r w:rsidR="004C2DC3">
              <w:rPr>
                <w:sz w:val="16"/>
                <w:szCs w:val="16"/>
              </w:rPr>
              <w:t>approximately 30 mg/L estimated from the data of</w:t>
            </w:r>
            <w:r w:rsidR="00EF7E6F">
              <w:rPr>
                <w:sz w:val="16"/>
                <w:szCs w:val="16"/>
              </w:rPr>
              <w:t xml:space="preserve"> </w:t>
            </w:r>
            <w:r w:rsidR="00C20165">
              <w:rPr>
                <w:sz w:val="16"/>
                <w:szCs w:val="16"/>
              </w:rPr>
              <w:t>De Flora</w:t>
            </w:r>
            <w:r w:rsidR="00613A26">
              <w:rPr>
                <w:sz w:val="16"/>
                <w:szCs w:val="16"/>
              </w:rPr>
              <w:t xml:space="preserve"> et al.</w:t>
            </w:r>
            <w:r w:rsidR="00936D45">
              <w:rPr>
                <w:sz w:val="16"/>
                <w:szCs w:val="16"/>
              </w:rPr>
              <w:t>[24]</w:t>
            </w:r>
            <w:r w:rsidR="006D2482" w:rsidRPr="007C4158">
              <w:rPr>
                <w:sz w:val="16"/>
                <w:szCs w:val="16"/>
              </w:rPr>
              <w:t xml:space="preserve">.  </w:t>
            </w:r>
            <w:r w:rsidR="00EF7E6F">
              <w:rPr>
                <w:sz w:val="16"/>
                <w:szCs w:val="16"/>
              </w:rPr>
              <w:t xml:space="preserve">The </w:t>
            </w:r>
            <w:r w:rsidR="004C2DC3">
              <w:rPr>
                <w:sz w:val="16"/>
                <w:szCs w:val="16"/>
              </w:rPr>
              <w:t xml:space="preserve">pH-dependent </w:t>
            </w:r>
            <w:r w:rsidR="00EF7E6F">
              <w:rPr>
                <w:sz w:val="16"/>
                <w:szCs w:val="16"/>
              </w:rPr>
              <w:t xml:space="preserve">rate of Cr(VI) reduction in GI lumen is based on </w:t>
            </w:r>
            <w:r>
              <w:rPr>
                <w:sz w:val="16"/>
                <w:szCs w:val="16"/>
              </w:rPr>
              <w:t>fits to</w:t>
            </w:r>
            <w:r w:rsidR="00EF7E6F">
              <w:rPr>
                <w:sz w:val="16"/>
                <w:szCs w:val="16"/>
              </w:rPr>
              <w:t xml:space="preserve"> </w:t>
            </w:r>
            <w:r w:rsidR="00EF7E6F" w:rsidRPr="00DD0273">
              <w:rPr>
                <w:i/>
                <w:sz w:val="16"/>
                <w:szCs w:val="16"/>
              </w:rPr>
              <w:t>ex vivo</w:t>
            </w:r>
            <w:r w:rsidR="00EF7E6F">
              <w:rPr>
                <w:sz w:val="16"/>
                <w:szCs w:val="16"/>
              </w:rPr>
              <w:t xml:space="preserve"> data collected in this study. </w:t>
            </w:r>
            <w:r w:rsidR="003723B9">
              <w:rPr>
                <w:sz w:val="16"/>
                <w:szCs w:val="16"/>
              </w:rPr>
              <w:t xml:space="preserve"> Intracellular</w:t>
            </w:r>
            <w:r w:rsidR="006D2482" w:rsidRPr="007C4158">
              <w:rPr>
                <w:sz w:val="16"/>
                <w:szCs w:val="16"/>
              </w:rPr>
              <w:t xml:space="preserve"> reduction values based on reduction rates fit to data for rat erythrocytes</w:t>
            </w:r>
            <w:r w:rsidR="00936D45">
              <w:rPr>
                <w:sz w:val="16"/>
                <w:szCs w:val="16"/>
              </w:rPr>
              <w:t>[58]</w:t>
            </w:r>
          </w:p>
        </w:tc>
      </w:tr>
      <w:tr w:rsidR="006D2482" w:rsidRPr="007C4158" w14:paraId="056D8C75" w14:textId="77777777" w:rsidTr="00074E98">
        <w:tc>
          <w:tcPr>
            <w:tcW w:w="1260" w:type="dxa"/>
          </w:tcPr>
          <w:p w14:paraId="0E2AB73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GI Absorption</w:t>
            </w:r>
          </w:p>
        </w:tc>
        <w:tc>
          <w:tcPr>
            <w:tcW w:w="2880" w:type="dxa"/>
          </w:tcPr>
          <w:p w14:paraId="445F781E" w14:textId="77777777" w:rsidR="006D2482" w:rsidRPr="007C4158" w:rsidRDefault="00C42B5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  <w:r w:rsidR="006D2482" w:rsidRPr="007C4158">
              <w:rPr>
                <w:sz w:val="16"/>
                <w:szCs w:val="16"/>
              </w:rPr>
              <w:t xml:space="preserve"> constant Cr(III) abs., stomach</w:t>
            </w:r>
          </w:p>
          <w:p w14:paraId="1D8FE6D9" w14:textId="77777777" w:rsidR="00C42B53" w:rsidRDefault="00C42B5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Rate </w:t>
            </w:r>
            <w:r w:rsidR="006D2482" w:rsidRPr="007C4158">
              <w:rPr>
                <w:sz w:val="16"/>
                <w:szCs w:val="16"/>
              </w:rPr>
              <w:t>constant Cr(VI) abs., stomach</w:t>
            </w:r>
          </w:p>
          <w:p w14:paraId="3497E567" w14:textId="77777777" w:rsidR="006D2482" w:rsidRPr="007C4158" w:rsidRDefault="00C42B5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  <w:r w:rsidR="006D2482" w:rsidRPr="007C4158">
              <w:rPr>
                <w:sz w:val="16"/>
                <w:szCs w:val="16"/>
              </w:rPr>
              <w:t xml:space="preserve"> constant Cr(III) absorption, SI </w:t>
            </w:r>
          </w:p>
          <w:p w14:paraId="424880B3" w14:textId="77777777" w:rsidR="006D2482" w:rsidRPr="007C4158" w:rsidRDefault="00C42B5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  <w:r w:rsidR="006D2482" w:rsidRPr="007C4158">
              <w:rPr>
                <w:sz w:val="16"/>
                <w:szCs w:val="16"/>
              </w:rPr>
              <w:t xml:space="preserve"> constant Cr(VI) absorption, SI</w:t>
            </w:r>
          </w:p>
          <w:p w14:paraId="727E3C8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Rel uptake by duodenum of Cr(III)</w:t>
            </w:r>
          </w:p>
          <w:p w14:paraId="6FE4D74A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Rel uptake by duodenum of Cr(VI)</w:t>
            </w:r>
          </w:p>
          <w:p w14:paraId="3924206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Rel uptake by jejunum of Cr(III)</w:t>
            </w:r>
          </w:p>
          <w:p w14:paraId="39FBE64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Rel uptake by jejunum of Cr(VI)</w:t>
            </w:r>
          </w:p>
          <w:p w14:paraId="0FBD5FD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Rel uptake by ileum of Cr(III)</w:t>
            </w:r>
          </w:p>
          <w:p w14:paraId="6F11E011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Rel uptake by ileum of Cr(VI)</w:t>
            </w:r>
          </w:p>
          <w:p w14:paraId="41F5A4D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SI Cell sloughing</w:t>
            </w:r>
          </w:p>
          <w:p w14:paraId="07C0EADA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Duodenum length</w:t>
            </w:r>
          </w:p>
          <w:p w14:paraId="0EFE698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Jejunum length</w:t>
            </w:r>
          </w:p>
          <w:p w14:paraId="5122A8E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Ileum length</w:t>
            </w:r>
          </w:p>
        </w:tc>
        <w:tc>
          <w:tcPr>
            <w:tcW w:w="900" w:type="dxa"/>
          </w:tcPr>
          <w:p w14:paraId="5089B4A9" w14:textId="77777777" w:rsidR="006D2482" w:rsidRPr="007C4158" w:rsidRDefault="00C241F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D2482" w:rsidRPr="007C4158">
              <w:rPr>
                <w:sz w:val="16"/>
                <w:szCs w:val="16"/>
              </w:rPr>
              <w:t>abs3s</w:t>
            </w:r>
          </w:p>
          <w:p w14:paraId="4DE49B33" w14:textId="77777777" w:rsidR="006D2482" w:rsidRPr="007C4158" w:rsidRDefault="00C241F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D2482" w:rsidRPr="007C4158">
              <w:rPr>
                <w:sz w:val="16"/>
                <w:szCs w:val="16"/>
              </w:rPr>
              <w:t>abs6s</w:t>
            </w:r>
          </w:p>
          <w:p w14:paraId="5622CB44" w14:textId="77777777" w:rsidR="006D2482" w:rsidRPr="007C4158" w:rsidRDefault="00C241F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D2482" w:rsidRPr="007C4158">
              <w:rPr>
                <w:sz w:val="16"/>
                <w:szCs w:val="16"/>
              </w:rPr>
              <w:t>abs3</w:t>
            </w:r>
          </w:p>
          <w:p w14:paraId="0FDCE472" w14:textId="77777777" w:rsidR="006D2482" w:rsidRPr="007C4158" w:rsidRDefault="00C241F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D2482" w:rsidRPr="007C4158">
              <w:rPr>
                <w:sz w:val="16"/>
                <w:szCs w:val="16"/>
              </w:rPr>
              <w:t>abs6</w:t>
            </w:r>
          </w:p>
          <w:p w14:paraId="28349CB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rad3</w:t>
            </w:r>
          </w:p>
          <w:p w14:paraId="056DE8C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rad6</w:t>
            </w:r>
          </w:p>
          <w:p w14:paraId="64873C1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raj3</w:t>
            </w:r>
          </w:p>
          <w:p w14:paraId="3319CBA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raj6</w:t>
            </w:r>
          </w:p>
          <w:p w14:paraId="7FA6721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rai3</w:t>
            </w:r>
          </w:p>
          <w:p w14:paraId="2F741E4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rai6</w:t>
            </w:r>
          </w:p>
          <w:p w14:paraId="428C0E43" w14:textId="2CB3763D" w:rsidR="006D2482" w:rsidRPr="007C4158" w:rsidRDefault="00DD027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2A2245">
              <w:rPr>
                <w:sz w:val="16"/>
                <w:szCs w:val="16"/>
              </w:rPr>
              <w:t>slough</w:t>
            </w:r>
          </w:p>
          <w:p w14:paraId="120C043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dl</w:t>
            </w:r>
          </w:p>
          <w:p w14:paraId="720AB70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jl</w:t>
            </w:r>
          </w:p>
          <w:p w14:paraId="201D5E58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il</w:t>
            </w:r>
          </w:p>
        </w:tc>
        <w:tc>
          <w:tcPr>
            <w:tcW w:w="900" w:type="dxa"/>
          </w:tcPr>
          <w:p w14:paraId="6B3DC8F1" w14:textId="31880527" w:rsidR="006D2482" w:rsidRPr="007C4158" w:rsidRDefault="00E7188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2A224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="002A2245">
              <w:rPr>
                <w:sz w:val="16"/>
                <w:szCs w:val="16"/>
              </w:rPr>
              <w:t>hr</w:t>
            </w:r>
          </w:p>
          <w:p w14:paraId="3C52BBA3" w14:textId="42B7EA47" w:rsidR="006D2482" w:rsidRPr="007C4158" w:rsidRDefault="00E7188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2A2245">
              <w:rPr>
                <w:sz w:val="16"/>
                <w:szCs w:val="16"/>
              </w:rPr>
              <w:t>/hr</w:t>
            </w:r>
          </w:p>
          <w:p w14:paraId="4CF5403E" w14:textId="10176B11" w:rsidR="006D2482" w:rsidRPr="007C4158" w:rsidRDefault="00E7188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2A224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cm*</w:t>
            </w:r>
            <w:r w:rsidR="002A2245">
              <w:rPr>
                <w:sz w:val="16"/>
                <w:szCs w:val="16"/>
              </w:rPr>
              <w:t>hr</w:t>
            </w:r>
          </w:p>
          <w:p w14:paraId="77AE772B" w14:textId="096EA209" w:rsidR="006D2482" w:rsidRPr="007C4158" w:rsidRDefault="00E71883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2A224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cm*</w:t>
            </w:r>
            <w:r w:rsidR="002A2245">
              <w:rPr>
                <w:sz w:val="16"/>
                <w:szCs w:val="16"/>
              </w:rPr>
              <w:t>hr</w:t>
            </w:r>
          </w:p>
          <w:p w14:paraId="7B1E94F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5F46D58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3B7A5C4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60321D0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7D8F7EB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04FCF3A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25516CF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hr-1</w:t>
            </w:r>
          </w:p>
          <w:p w14:paraId="3FCE4A6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cm</w:t>
            </w:r>
          </w:p>
          <w:p w14:paraId="6809F36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cm</w:t>
            </w:r>
          </w:p>
          <w:p w14:paraId="60CB1B38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cm</w:t>
            </w:r>
          </w:p>
        </w:tc>
        <w:tc>
          <w:tcPr>
            <w:tcW w:w="1530" w:type="dxa"/>
          </w:tcPr>
          <w:p w14:paraId="219F403F" w14:textId="6A6BE842" w:rsidR="0041108E" w:rsidRDefault="00074E9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</w:p>
          <w:p w14:paraId="75706C14" w14:textId="77777777" w:rsidR="0041108E" w:rsidRDefault="005E06E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074E98">
              <w:rPr>
                <w:sz w:val="16"/>
                <w:szCs w:val="16"/>
              </w:rPr>
              <w:t>.</w:t>
            </w:r>
          </w:p>
          <w:p w14:paraId="74EF2822" w14:textId="3AE0B2C8" w:rsidR="0041108E" w:rsidRDefault="003723B9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  <w:r w:rsidR="00A63672">
              <w:rPr>
                <w:sz w:val="16"/>
                <w:szCs w:val="16"/>
              </w:rPr>
              <w:t>E-05</w:t>
            </w:r>
            <w:r w:rsidRPr="003723B9">
              <w:rPr>
                <w:sz w:val="16"/>
                <w:szCs w:val="16"/>
                <w:vertAlign w:val="superscript"/>
              </w:rPr>
              <w:t>a</w:t>
            </w:r>
          </w:p>
          <w:p w14:paraId="15E39DB6" w14:textId="62EE83F7" w:rsidR="0041108E" w:rsidRDefault="003723B9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  <w:r w:rsidR="005E06E7">
              <w:rPr>
                <w:sz w:val="16"/>
                <w:szCs w:val="16"/>
              </w:rPr>
              <w:t>E-0</w:t>
            </w:r>
            <w:r w:rsidR="009F2B9A">
              <w:rPr>
                <w:sz w:val="16"/>
                <w:szCs w:val="16"/>
              </w:rPr>
              <w:t>3</w:t>
            </w:r>
            <w:r w:rsidRPr="003723B9">
              <w:rPr>
                <w:sz w:val="16"/>
                <w:szCs w:val="16"/>
                <w:vertAlign w:val="superscript"/>
              </w:rPr>
              <w:t>b</w:t>
            </w:r>
          </w:p>
          <w:p w14:paraId="5825FE3F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1</w:t>
            </w:r>
          </w:p>
          <w:p w14:paraId="44979A6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1</w:t>
            </w:r>
          </w:p>
          <w:p w14:paraId="070AD09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0.</w:t>
            </w:r>
            <w:r>
              <w:rPr>
                <w:sz w:val="16"/>
                <w:szCs w:val="16"/>
              </w:rPr>
              <w:t>1</w:t>
            </w:r>
          </w:p>
          <w:p w14:paraId="44EFDCCF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0.</w:t>
            </w:r>
            <w:r>
              <w:rPr>
                <w:sz w:val="16"/>
                <w:szCs w:val="16"/>
              </w:rPr>
              <w:t>3</w:t>
            </w:r>
          </w:p>
          <w:p w14:paraId="40F6C96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0.0</w:t>
            </w:r>
            <w:r>
              <w:rPr>
                <w:sz w:val="16"/>
                <w:szCs w:val="16"/>
              </w:rPr>
              <w:t>24</w:t>
            </w:r>
          </w:p>
          <w:p w14:paraId="5698D32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0.0</w:t>
            </w:r>
            <w:r>
              <w:rPr>
                <w:sz w:val="16"/>
                <w:szCs w:val="16"/>
              </w:rPr>
              <w:t>22</w:t>
            </w:r>
          </w:p>
          <w:p w14:paraId="724E1E5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0.029</w:t>
            </w:r>
          </w:p>
          <w:p w14:paraId="39EE95BF" w14:textId="77777777" w:rsidR="006D2482" w:rsidRPr="007C4158" w:rsidRDefault="0041108E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</w:t>
            </w:r>
          </w:p>
          <w:p w14:paraId="10F38566" w14:textId="77777777" w:rsidR="006D2482" w:rsidRPr="007C4158" w:rsidRDefault="003A627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1108E">
              <w:rPr>
                <w:sz w:val="16"/>
                <w:szCs w:val="16"/>
              </w:rPr>
              <w:t>4</w:t>
            </w:r>
          </w:p>
          <w:p w14:paraId="695158B1" w14:textId="77777777" w:rsidR="006D2482" w:rsidRPr="007C4158" w:rsidRDefault="003A627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41108E">
              <w:rPr>
                <w:sz w:val="16"/>
                <w:szCs w:val="16"/>
              </w:rPr>
              <w:t>4</w:t>
            </w:r>
          </w:p>
        </w:tc>
        <w:tc>
          <w:tcPr>
            <w:tcW w:w="6300" w:type="dxa"/>
          </w:tcPr>
          <w:p w14:paraId="1BD8AD9F" w14:textId="77777777" w:rsidR="006D2482" w:rsidRPr="007C4158" w:rsidRDefault="00B6505A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Assumed negligible</w:t>
            </w:r>
            <w:r>
              <w:rPr>
                <w:sz w:val="16"/>
                <w:szCs w:val="16"/>
              </w:rPr>
              <w:t xml:space="preserve"> based on relative surface area and transit time.</w:t>
            </w:r>
          </w:p>
          <w:p w14:paraId="62896C73" w14:textId="77777777" w:rsidR="006D2482" w:rsidRPr="007C4158" w:rsidRDefault="00B6505A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Assumed negligible</w:t>
            </w:r>
            <w:r>
              <w:rPr>
                <w:sz w:val="16"/>
                <w:szCs w:val="16"/>
              </w:rPr>
              <w:t xml:space="preserve"> based on relative surface area and transit time.</w:t>
            </w:r>
          </w:p>
          <w:p w14:paraId="4D1260C0" w14:textId="3698AF1F" w:rsidR="006D2482" w:rsidRPr="007C4158" w:rsidRDefault="00D15F15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Parameter values for absorption were adjusted for each data set to match Cr mass</w:t>
            </w:r>
            <w:r w:rsidR="00826E00">
              <w:rPr>
                <w:sz w:val="16"/>
                <w:szCs w:val="16"/>
              </w:rPr>
              <w:t xml:space="preserve"> measured at </w:t>
            </w:r>
            <w:r>
              <w:rPr>
                <w:sz w:val="16"/>
                <w:szCs w:val="16"/>
              </w:rPr>
              <w:t>the last cumulative urine data point.</w:t>
            </w:r>
          </w:p>
          <w:p w14:paraId="5DE9D5D7" w14:textId="412CCB18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Basis of comparison for other sections (</w:t>
            </w:r>
            <w:r w:rsidR="00D15F15">
              <w:rPr>
                <w:sz w:val="16"/>
                <w:szCs w:val="16"/>
              </w:rPr>
              <w:t xml:space="preserve">duodenum </w:t>
            </w:r>
            <w:r w:rsidRPr="007C4158">
              <w:rPr>
                <w:sz w:val="16"/>
                <w:szCs w:val="16"/>
              </w:rPr>
              <w:t>defined</w:t>
            </w:r>
            <w:r w:rsidR="00D15F15">
              <w:rPr>
                <w:sz w:val="16"/>
                <w:szCs w:val="16"/>
              </w:rPr>
              <w:t xml:space="preserve"> as 1</w:t>
            </w:r>
            <w:r w:rsidRPr="007C4158">
              <w:rPr>
                <w:sz w:val="16"/>
                <w:szCs w:val="16"/>
              </w:rPr>
              <w:t>)</w:t>
            </w:r>
          </w:p>
          <w:p w14:paraId="6EBD8CA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4B8DC9DF" w14:textId="77777777" w:rsidR="007564D0" w:rsidRDefault="0041108E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Rodent values</w:t>
            </w:r>
            <w:r w:rsidR="00B6505A">
              <w:rPr>
                <w:sz w:val="16"/>
                <w:szCs w:val="16"/>
              </w:rPr>
              <w:t xml:space="preserve"> for relative uptake in SI sections</w:t>
            </w:r>
            <w:r w:rsidR="00936D45">
              <w:rPr>
                <w:sz w:val="16"/>
                <w:szCs w:val="16"/>
              </w:rPr>
              <w:t>[16]</w:t>
            </w:r>
            <w:r w:rsidR="0059437D">
              <w:rPr>
                <w:sz w:val="16"/>
                <w:szCs w:val="16"/>
              </w:rPr>
              <w:t xml:space="preserve"> </w:t>
            </w:r>
            <w:r w:rsidR="00B6505A">
              <w:rPr>
                <w:sz w:val="16"/>
                <w:szCs w:val="16"/>
              </w:rPr>
              <w:t>were</w:t>
            </w:r>
            <w:r>
              <w:rPr>
                <w:sz w:val="16"/>
                <w:szCs w:val="16"/>
              </w:rPr>
              <w:t xml:space="preserve"> assumed</w:t>
            </w:r>
            <w:r w:rsidR="00D15F15">
              <w:rPr>
                <w:sz w:val="16"/>
                <w:szCs w:val="16"/>
              </w:rPr>
              <w:t xml:space="preserve"> for humans</w:t>
            </w:r>
            <w:r w:rsidR="00B6505A">
              <w:rPr>
                <w:sz w:val="16"/>
                <w:szCs w:val="16"/>
              </w:rPr>
              <w:t>.</w:t>
            </w:r>
          </w:p>
          <w:p w14:paraId="6C2C956E" w14:textId="19865877" w:rsidR="007564D0" w:rsidRDefault="007564D0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49FE79DE" w14:textId="77777777" w:rsidR="006D2482" w:rsidRPr="007C4158" w:rsidRDefault="00DD0273" w:rsidP="00936D45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Sloughing rates are b</w:t>
            </w:r>
            <w:r w:rsidR="006D2482" w:rsidRPr="007C4158">
              <w:rPr>
                <w:sz w:val="16"/>
                <w:szCs w:val="16"/>
              </w:rPr>
              <w:t>ased on cell turnover rates</w:t>
            </w:r>
            <w:r>
              <w:rPr>
                <w:sz w:val="16"/>
                <w:szCs w:val="16"/>
              </w:rPr>
              <w:t>, which range</w:t>
            </w:r>
            <w:r w:rsidR="006D2482" w:rsidRPr="007C4158">
              <w:rPr>
                <w:sz w:val="16"/>
                <w:szCs w:val="16"/>
              </w:rPr>
              <w:t xml:space="preserve"> from</w:t>
            </w:r>
            <w:r>
              <w:rPr>
                <w:sz w:val="16"/>
                <w:szCs w:val="16"/>
              </w:rPr>
              <w:t xml:space="preserve"> approximately</w:t>
            </w:r>
            <w:r w:rsidR="00D05F1A">
              <w:rPr>
                <w:sz w:val="16"/>
                <w:szCs w:val="16"/>
              </w:rPr>
              <w:t xml:space="preserve"> 1-5</w:t>
            </w:r>
            <w:r w:rsidR="006D2482" w:rsidRPr="007C4158">
              <w:rPr>
                <w:sz w:val="16"/>
                <w:szCs w:val="16"/>
              </w:rPr>
              <w:t xml:space="preserve"> days (</w:t>
            </w:r>
            <w:r w:rsidR="00D05F1A">
              <w:rPr>
                <w:sz w:val="16"/>
                <w:szCs w:val="16"/>
              </w:rPr>
              <w:t>Creamer et al.</w:t>
            </w:r>
            <w:r w:rsidR="00296AD9">
              <w:rPr>
                <w:sz w:val="16"/>
                <w:szCs w:val="16"/>
              </w:rPr>
              <w:t xml:space="preserve">).  Using </w:t>
            </w:r>
            <w:r w:rsidR="002B6A45">
              <w:rPr>
                <w:sz w:val="16"/>
                <w:szCs w:val="16"/>
              </w:rPr>
              <w:t>2 days as representative value for</w:t>
            </w:r>
            <w:r w:rsidR="00296AD9">
              <w:rPr>
                <w:sz w:val="16"/>
                <w:szCs w:val="16"/>
              </w:rPr>
              <w:t xml:space="preserve"> this range, a halftime of </w:t>
            </w:r>
            <w:r w:rsidR="002B6A45">
              <w:rPr>
                <w:sz w:val="16"/>
                <w:szCs w:val="16"/>
              </w:rPr>
              <w:t>24</w:t>
            </w:r>
            <w:r w:rsidR="00296AD9">
              <w:rPr>
                <w:sz w:val="16"/>
                <w:szCs w:val="16"/>
              </w:rPr>
              <w:t xml:space="preserve"> hours wa</w:t>
            </w:r>
            <w:r w:rsidR="006D2482" w:rsidRPr="007C4158">
              <w:rPr>
                <w:sz w:val="16"/>
                <w:szCs w:val="16"/>
              </w:rPr>
              <w:t>s assumed</w:t>
            </w:r>
            <w:r w:rsidR="00296AD9">
              <w:rPr>
                <w:sz w:val="16"/>
                <w:szCs w:val="16"/>
              </w:rPr>
              <w:t xml:space="preserve"> to calculate the rate </w:t>
            </w:r>
            <w:r w:rsidR="006F4035">
              <w:rPr>
                <w:sz w:val="16"/>
                <w:szCs w:val="16"/>
              </w:rPr>
              <w:t xml:space="preserve">constant for SI </w:t>
            </w:r>
            <w:r w:rsidR="00296AD9">
              <w:rPr>
                <w:sz w:val="16"/>
                <w:szCs w:val="16"/>
              </w:rPr>
              <w:t>(rate constant = ln(2)/halftimes)</w:t>
            </w:r>
            <w:r w:rsidR="00936D45">
              <w:rPr>
                <w:sz w:val="16"/>
                <w:szCs w:val="16"/>
              </w:rPr>
              <w:t xml:space="preserve">. </w:t>
            </w:r>
            <w:r w:rsidR="00296AD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Small intestines section lengths are from </w:t>
            </w:r>
            <w:r w:rsidR="0041108E">
              <w:rPr>
                <w:sz w:val="16"/>
                <w:szCs w:val="16"/>
              </w:rPr>
              <w:t>ICRP</w:t>
            </w:r>
            <w:r w:rsidR="00936D45">
              <w:rPr>
                <w:sz w:val="16"/>
                <w:szCs w:val="16"/>
              </w:rPr>
              <w:t>[45]</w:t>
            </w:r>
            <w:r>
              <w:rPr>
                <w:sz w:val="16"/>
                <w:szCs w:val="16"/>
              </w:rPr>
              <w:t>.</w:t>
            </w:r>
          </w:p>
        </w:tc>
      </w:tr>
      <w:tr w:rsidR="006D2482" w:rsidRPr="007C4158" w14:paraId="43442932" w14:textId="77777777" w:rsidTr="00074E98">
        <w:tc>
          <w:tcPr>
            <w:tcW w:w="1260" w:type="dxa"/>
          </w:tcPr>
          <w:p w14:paraId="56B222C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Blood: Tissue Transfer</w:t>
            </w:r>
          </w:p>
        </w:tc>
        <w:tc>
          <w:tcPr>
            <w:tcW w:w="2880" w:type="dxa"/>
          </w:tcPr>
          <w:p w14:paraId="0AECB73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T-Cr(III): GI tissue to plasma</w:t>
            </w:r>
          </w:p>
          <w:p w14:paraId="3C4F1C65" w14:textId="77777777" w:rsidR="006218B8" w:rsidRDefault="006218B8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0D31E8B4" w14:textId="485956BD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Cr(VI): GI tissue to plasma</w:t>
            </w:r>
          </w:p>
        </w:tc>
        <w:tc>
          <w:tcPr>
            <w:tcW w:w="900" w:type="dxa"/>
          </w:tcPr>
          <w:p w14:paraId="4EB904C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kout3</w:t>
            </w:r>
          </w:p>
          <w:p w14:paraId="25B56B88" w14:textId="77777777" w:rsidR="006218B8" w:rsidRDefault="006218B8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0BC66601" w14:textId="6E0EC99C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 xml:space="preserve">kout6 </w:t>
            </w:r>
          </w:p>
        </w:tc>
        <w:tc>
          <w:tcPr>
            <w:tcW w:w="900" w:type="dxa"/>
          </w:tcPr>
          <w:p w14:paraId="5543DEE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</w:tc>
        <w:tc>
          <w:tcPr>
            <w:tcW w:w="1530" w:type="dxa"/>
          </w:tcPr>
          <w:p w14:paraId="27CBE42B" w14:textId="1EFBC1DE" w:rsidR="006D2482" w:rsidRPr="007C4158" w:rsidRDefault="006218B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</w:t>
            </w:r>
          </w:p>
          <w:p w14:paraId="1BCA55ED" w14:textId="77777777" w:rsidR="006218B8" w:rsidRDefault="006218B8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2F5C72AC" w14:textId="7A2D171F" w:rsidR="005E06E7" w:rsidRPr="007C4158" w:rsidRDefault="006218B8" w:rsidP="000207CA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</w:t>
            </w:r>
          </w:p>
        </w:tc>
        <w:tc>
          <w:tcPr>
            <w:tcW w:w="6300" w:type="dxa"/>
          </w:tcPr>
          <w:p w14:paraId="08A7F952" w14:textId="6B51F8B6" w:rsidR="006D2482" w:rsidRPr="007C4158" w:rsidRDefault="006218B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Value adjusted to achieve a fraction of Cr body burden in SI </w:t>
            </w:r>
            <w:r w:rsidR="00826E00">
              <w:rPr>
                <w:sz w:val="16"/>
                <w:szCs w:val="16"/>
              </w:rPr>
              <w:t xml:space="preserve">(~3%) </w:t>
            </w:r>
            <w:r>
              <w:rPr>
                <w:sz w:val="16"/>
                <w:szCs w:val="16"/>
              </w:rPr>
              <w:t>to match that measured in pigs</w:t>
            </w:r>
            <w:r w:rsidR="00826E00">
              <w:rPr>
                <w:sz w:val="16"/>
                <w:szCs w:val="16"/>
              </w:rPr>
              <w:t xml:space="preserve"> exposed to Cr(III)</w:t>
            </w:r>
            <w:r w:rsidR="00936D45">
              <w:rPr>
                <w:sz w:val="16"/>
                <w:szCs w:val="16"/>
              </w:rPr>
              <w:t>[70]</w:t>
            </w:r>
            <w:r>
              <w:rPr>
                <w:sz w:val="16"/>
                <w:szCs w:val="16"/>
              </w:rPr>
              <w:t xml:space="preserve"> </w:t>
            </w:r>
          </w:p>
          <w:p w14:paraId="3BE109DD" w14:textId="4D31449B" w:rsidR="006D2482" w:rsidRPr="007C4158" w:rsidRDefault="006218B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Calculated from kout3 </w:t>
            </w:r>
            <w:r w:rsidR="0059437D">
              <w:rPr>
                <w:sz w:val="16"/>
                <w:szCs w:val="16"/>
              </w:rPr>
              <w:t>assuming</w:t>
            </w:r>
            <w:r>
              <w:rPr>
                <w:sz w:val="16"/>
                <w:szCs w:val="16"/>
              </w:rPr>
              <w:t xml:space="preserve"> proportionality to rodent values</w:t>
            </w:r>
            <w:r w:rsidR="00936D45">
              <w:rPr>
                <w:sz w:val="16"/>
                <w:szCs w:val="16"/>
              </w:rPr>
              <w:t>[16]</w:t>
            </w:r>
          </w:p>
        </w:tc>
      </w:tr>
    </w:tbl>
    <w:p w14:paraId="206E73ED" w14:textId="5B5627A3" w:rsidR="003723B9" w:rsidRPr="000207CA" w:rsidRDefault="003723B9" w:rsidP="00786696">
      <w:pPr>
        <w:spacing w:line="360" w:lineRule="auto"/>
        <w:rPr>
          <w:sz w:val="20"/>
          <w:szCs w:val="20"/>
        </w:rPr>
      </w:pPr>
      <w:r w:rsidRPr="000207CA">
        <w:rPr>
          <w:sz w:val="20"/>
          <w:szCs w:val="20"/>
          <w:vertAlign w:val="superscript"/>
        </w:rPr>
        <w:t>a</w:t>
      </w:r>
      <w:r w:rsidRPr="000207CA">
        <w:rPr>
          <w:sz w:val="20"/>
          <w:szCs w:val="20"/>
        </w:rPr>
        <w:t>Arithmetic mean of values estimated for each Cr(III) data set: Anderson</w:t>
      </w:r>
      <w:r w:rsidR="00936D45">
        <w:rPr>
          <w:sz w:val="20"/>
          <w:szCs w:val="20"/>
        </w:rPr>
        <w:t xml:space="preserve"> et al.[27,28,29]</w:t>
      </w:r>
      <w:r w:rsidRPr="000207CA">
        <w:rPr>
          <w:sz w:val="20"/>
          <w:szCs w:val="20"/>
        </w:rPr>
        <w:t xml:space="preserve"> (1.9E-05), Mohamedshah </w:t>
      </w:r>
      <w:r w:rsidR="00936D45">
        <w:rPr>
          <w:sz w:val="20"/>
          <w:szCs w:val="20"/>
        </w:rPr>
        <w:t>et al. [30]</w:t>
      </w:r>
      <w:r w:rsidRPr="000207CA">
        <w:rPr>
          <w:sz w:val="20"/>
          <w:szCs w:val="20"/>
        </w:rPr>
        <w:t xml:space="preserve">(4.2E-05), Rubin </w:t>
      </w:r>
      <w:r w:rsidR="00936D45">
        <w:rPr>
          <w:sz w:val="20"/>
          <w:szCs w:val="20"/>
        </w:rPr>
        <w:t>et al.[34]</w:t>
      </w:r>
      <w:r w:rsidRPr="000207CA">
        <w:rPr>
          <w:sz w:val="20"/>
          <w:szCs w:val="20"/>
        </w:rPr>
        <w:t>(8.8E-05), Kerger</w:t>
      </w:r>
      <w:r w:rsidR="00936D45">
        <w:rPr>
          <w:sz w:val="20"/>
          <w:szCs w:val="20"/>
        </w:rPr>
        <w:t xml:space="preserve"> et al.[31]</w:t>
      </w:r>
      <w:r w:rsidRPr="000207CA">
        <w:rPr>
          <w:sz w:val="20"/>
          <w:szCs w:val="20"/>
        </w:rPr>
        <w:t xml:space="preserve">(1.1E-05, 3.6E-05), Lukaski </w:t>
      </w:r>
      <w:r w:rsidR="00936D45">
        <w:rPr>
          <w:sz w:val="20"/>
          <w:szCs w:val="20"/>
        </w:rPr>
        <w:t>et al.[33]</w:t>
      </w:r>
      <w:r w:rsidRPr="000207CA">
        <w:rPr>
          <w:sz w:val="20"/>
          <w:szCs w:val="20"/>
        </w:rPr>
        <w:t xml:space="preserve">(3.3E-05), Volpe </w:t>
      </w:r>
      <w:r w:rsidR="00936D45">
        <w:rPr>
          <w:sz w:val="20"/>
          <w:szCs w:val="20"/>
        </w:rPr>
        <w:t>et al.[32]</w:t>
      </w:r>
      <w:r w:rsidRPr="000207CA">
        <w:rPr>
          <w:sz w:val="20"/>
          <w:szCs w:val="20"/>
        </w:rPr>
        <w:t xml:space="preserve">(2.0E-05), Gargas </w:t>
      </w:r>
      <w:r w:rsidR="00936D45">
        <w:rPr>
          <w:sz w:val="20"/>
          <w:szCs w:val="20"/>
        </w:rPr>
        <w:t>et al.[35]</w:t>
      </w:r>
      <w:r w:rsidRPr="000207CA">
        <w:rPr>
          <w:sz w:val="20"/>
          <w:szCs w:val="20"/>
        </w:rPr>
        <w:t>(8.3E-05)</w:t>
      </w:r>
    </w:p>
    <w:p w14:paraId="73497697" w14:textId="6E986675" w:rsidR="003723B9" w:rsidRDefault="003723B9" w:rsidP="00786696">
      <w:pPr>
        <w:spacing w:line="360" w:lineRule="auto"/>
      </w:pPr>
      <w:r w:rsidRPr="000207CA">
        <w:rPr>
          <w:sz w:val="20"/>
          <w:szCs w:val="20"/>
          <w:vertAlign w:val="superscript"/>
        </w:rPr>
        <w:t>b</w:t>
      </w:r>
      <w:r w:rsidRPr="000207CA">
        <w:rPr>
          <w:sz w:val="20"/>
          <w:szCs w:val="20"/>
        </w:rPr>
        <w:t xml:space="preserve">Arithemetic mean of values estimated for each Cr(VI) data set: Paustenbach </w:t>
      </w:r>
      <w:r w:rsidR="00936D45">
        <w:rPr>
          <w:sz w:val="20"/>
          <w:szCs w:val="20"/>
        </w:rPr>
        <w:t>et al.[36]</w:t>
      </w:r>
      <w:r w:rsidRPr="000207CA">
        <w:rPr>
          <w:sz w:val="20"/>
          <w:szCs w:val="20"/>
        </w:rPr>
        <w:t>(1.3E-03), Kerger</w:t>
      </w:r>
      <w:r w:rsidR="00936D45">
        <w:rPr>
          <w:sz w:val="20"/>
          <w:szCs w:val="20"/>
        </w:rPr>
        <w:t xml:space="preserve"> et al.[31]</w:t>
      </w:r>
      <w:r w:rsidRPr="000207CA">
        <w:rPr>
          <w:sz w:val="20"/>
          <w:szCs w:val="20"/>
        </w:rPr>
        <w:t>(7.8E-04)</w:t>
      </w:r>
    </w:p>
    <w:p w14:paraId="2D3F2415" w14:textId="77777777" w:rsidR="0057344B" w:rsidRDefault="0057344B" w:rsidP="00786696">
      <w:pPr>
        <w:spacing w:line="360" w:lineRule="auto"/>
      </w:pPr>
    </w:p>
    <w:p w14:paraId="50824DAB" w14:textId="5D64ADC2" w:rsidR="0057344B" w:rsidRPr="00B20869" w:rsidRDefault="008D098F" w:rsidP="00786696">
      <w:pPr>
        <w:spacing w:line="360" w:lineRule="auto"/>
        <w:rPr>
          <w:b/>
        </w:rPr>
      </w:pPr>
      <w:r>
        <w:rPr>
          <w:b/>
        </w:rPr>
        <w:t xml:space="preserve">Table </w:t>
      </w:r>
      <w:r w:rsidR="00D3695C">
        <w:rPr>
          <w:b/>
        </w:rPr>
        <w:t>3</w:t>
      </w:r>
      <w:r w:rsidR="0057344B" w:rsidRPr="00A65D93">
        <w:rPr>
          <w:b/>
        </w:rPr>
        <w:t>.  Systemic</w:t>
      </w:r>
      <w:r w:rsidR="0087458E">
        <w:rPr>
          <w:b/>
        </w:rPr>
        <w:t xml:space="preserve"> Model</w:t>
      </w:r>
      <w:r w:rsidR="0057344B" w:rsidRPr="00A65D93">
        <w:rPr>
          <w:b/>
        </w:rPr>
        <w:t xml:space="preserve"> Parameters</w:t>
      </w:r>
    </w:p>
    <w:tbl>
      <w:tblPr>
        <w:tblW w:w="12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430"/>
        <w:gridCol w:w="900"/>
        <w:gridCol w:w="1080"/>
        <w:gridCol w:w="990"/>
        <w:gridCol w:w="5850"/>
      </w:tblGrid>
      <w:tr w:rsidR="006D2482" w:rsidRPr="007C4158" w14:paraId="47160A95" w14:textId="77777777" w:rsidTr="006D2482">
        <w:tc>
          <w:tcPr>
            <w:tcW w:w="1368" w:type="dxa"/>
          </w:tcPr>
          <w:p w14:paraId="31EA8685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Group</w:t>
            </w:r>
          </w:p>
        </w:tc>
        <w:tc>
          <w:tcPr>
            <w:tcW w:w="2430" w:type="dxa"/>
          </w:tcPr>
          <w:p w14:paraId="0D37574A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900" w:type="dxa"/>
          </w:tcPr>
          <w:p w14:paraId="1F1C637D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Symbol</w:t>
            </w:r>
          </w:p>
        </w:tc>
        <w:tc>
          <w:tcPr>
            <w:tcW w:w="1080" w:type="dxa"/>
          </w:tcPr>
          <w:p w14:paraId="1F216F54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Units</w:t>
            </w:r>
          </w:p>
        </w:tc>
        <w:tc>
          <w:tcPr>
            <w:tcW w:w="990" w:type="dxa"/>
          </w:tcPr>
          <w:p w14:paraId="60B8B6D7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Adult</w:t>
            </w:r>
          </w:p>
        </w:tc>
        <w:tc>
          <w:tcPr>
            <w:tcW w:w="5850" w:type="dxa"/>
          </w:tcPr>
          <w:p w14:paraId="294B4154" w14:textId="77777777" w:rsidR="006D2482" w:rsidRPr="007C4158" w:rsidRDefault="006D2482" w:rsidP="007C4158">
            <w:pPr>
              <w:spacing w:line="360" w:lineRule="auto"/>
              <w:rPr>
                <w:b/>
                <w:sz w:val="16"/>
                <w:szCs w:val="16"/>
              </w:rPr>
            </w:pPr>
            <w:r w:rsidRPr="007C4158">
              <w:rPr>
                <w:b/>
                <w:sz w:val="16"/>
                <w:szCs w:val="16"/>
              </w:rPr>
              <w:t>Source</w:t>
            </w:r>
          </w:p>
        </w:tc>
      </w:tr>
      <w:tr w:rsidR="006D2482" w:rsidRPr="007C4158" w14:paraId="07680180" w14:textId="77777777" w:rsidTr="006D2482">
        <w:tc>
          <w:tcPr>
            <w:tcW w:w="1368" w:type="dxa"/>
          </w:tcPr>
          <w:p w14:paraId="33A0D28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Tissue Volumes</w:t>
            </w:r>
          </w:p>
        </w:tc>
        <w:tc>
          <w:tcPr>
            <w:tcW w:w="2430" w:type="dxa"/>
          </w:tcPr>
          <w:p w14:paraId="3BB8EA5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Bone</w:t>
            </w:r>
          </w:p>
          <w:p w14:paraId="4003FEE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Blood</w:t>
            </w:r>
          </w:p>
          <w:p w14:paraId="7455B25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 xml:space="preserve">   Fraction portal</w:t>
            </w:r>
          </w:p>
          <w:p w14:paraId="16A77AB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 xml:space="preserve">   Hematocrit</w:t>
            </w:r>
          </w:p>
          <w:p w14:paraId="321B807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Kidney</w:t>
            </w:r>
          </w:p>
          <w:p w14:paraId="641D3C9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Liver</w:t>
            </w:r>
          </w:p>
          <w:p w14:paraId="50AA260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Other tissues</w:t>
            </w:r>
          </w:p>
        </w:tc>
        <w:tc>
          <w:tcPr>
            <w:tcW w:w="900" w:type="dxa"/>
          </w:tcPr>
          <w:p w14:paraId="2A81A4B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vbc</w:t>
            </w:r>
          </w:p>
          <w:p w14:paraId="4A99204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vblc</w:t>
            </w:r>
          </w:p>
          <w:p w14:paraId="6F7914A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fpt</w:t>
            </w:r>
          </w:p>
          <w:p w14:paraId="131AD72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hct</w:t>
            </w:r>
          </w:p>
          <w:p w14:paraId="07BC2CAA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vkc</w:t>
            </w:r>
          </w:p>
          <w:p w14:paraId="590A2C28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vlc</w:t>
            </w:r>
          </w:p>
          <w:p w14:paraId="764CCF6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votc</w:t>
            </w:r>
          </w:p>
        </w:tc>
        <w:tc>
          <w:tcPr>
            <w:tcW w:w="1080" w:type="dxa"/>
          </w:tcPr>
          <w:p w14:paraId="7BBE5AB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 (fraction of body weight)</w:t>
            </w:r>
          </w:p>
        </w:tc>
        <w:tc>
          <w:tcPr>
            <w:tcW w:w="990" w:type="dxa"/>
          </w:tcPr>
          <w:p w14:paraId="50AB21AE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</w:t>
            </w:r>
          </w:p>
          <w:p w14:paraId="5037EC26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0.073</w:t>
            </w:r>
          </w:p>
          <w:p w14:paraId="0C6B42C7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0.205</w:t>
            </w:r>
          </w:p>
          <w:p w14:paraId="09ED7F06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0.434</w:t>
            </w:r>
          </w:p>
          <w:p w14:paraId="772EBB87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0.0042</w:t>
            </w:r>
          </w:p>
          <w:p w14:paraId="56DD2CA4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</w:t>
            </w:r>
            <w:r w:rsidR="006D2482" w:rsidRPr="007C4158">
              <w:rPr>
                <w:sz w:val="16"/>
                <w:szCs w:val="16"/>
              </w:rPr>
              <w:t>5</w:t>
            </w:r>
          </w:p>
          <w:p w14:paraId="7E06807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calc</w:t>
            </w:r>
          </w:p>
        </w:tc>
        <w:tc>
          <w:tcPr>
            <w:tcW w:w="5850" w:type="dxa"/>
          </w:tcPr>
          <w:p w14:paraId="351D9E99" w14:textId="77777777" w:rsidR="007564D0" w:rsidRDefault="007915AF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Tissue volumes for adult males were obtained from </w:t>
            </w:r>
            <w:r w:rsidR="00624234">
              <w:rPr>
                <w:sz w:val="16"/>
                <w:szCs w:val="16"/>
              </w:rPr>
              <w:t>ICRP</w:t>
            </w:r>
            <w:r w:rsidR="00936D45">
              <w:rPr>
                <w:sz w:val="16"/>
                <w:szCs w:val="16"/>
              </w:rPr>
              <w:t>[45]</w:t>
            </w:r>
            <w:r>
              <w:rPr>
                <w:sz w:val="16"/>
                <w:szCs w:val="16"/>
              </w:rPr>
              <w:t>.</w:t>
            </w:r>
            <w:r w:rsidR="003D58A3">
              <w:rPr>
                <w:sz w:val="16"/>
                <w:szCs w:val="16"/>
              </w:rPr>
              <w:t xml:space="preserve">  </w:t>
            </w:r>
            <w:r w:rsidR="006D3A6A">
              <w:rPr>
                <w:sz w:val="16"/>
                <w:szCs w:val="16"/>
              </w:rPr>
              <w:t>Fractional v</w:t>
            </w:r>
            <w:r w:rsidR="003D58A3">
              <w:rPr>
                <w:sz w:val="16"/>
                <w:szCs w:val="16"/>
              </w:rPr>
              <w:t>olume of other ti</w:t>
            </w:r>
            <w:r w:rsidR="006D3A6A">
              <w:rPr>
                <w:sz w:val="16"/>
                <w:szCs w:val="16"/>
              </w:rPr>
              <w:t>ssue compartment calculated as</w:t>
            </w:r>
            <w:r w:rsidR="006218B8">
              <w:rPr>
                <w:sz w:val="16"/>
                <w:szCs w:val="16"/>
              </w:rPr>
              <w:t xml:space="preserve"> 1–vbc-vlc-vkc</w:t>
            </w:r>
            <w:r w:rsidR="006D3A6A">
              <w:rPr>
                <w:sz w:val="16"/>
                <w:szCs w:val="16"/>
              </w:rPr>
              <w:t>-vsc-vdc-vjc-vic-vblc.</w:t>
            </w:r>
          </w:p>
          <w:p w14:paraId="69C00AB7" w14:textId="4C5A2208" w:rsidR="007564D0" w:rsidRDefault="007564D0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42960FD1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6D2482" w:rsidRPr="007C4158" w14:paraId="3D5AED9D" w14:textId="77777777" w:rsidTr="006D2482">
        <w:tc>
          <w:tcPr>
            <w:tcW w:w="1368" w:type="dxa"/>
          </w:tcPr>
          <w:p w14:paraId="3C0E380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Tissue Blood Flows</w:t>
            </w:r>
          </w:p>
        </w:tc>
        <w:tc>
          <w:tcPr>
            <w:tcW w:w="2430" w:type="dxa"/>
          </w:tcPr>
          <w:p w14:paraId="08877A8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Bone</w:t>
            </w:r>
          </w:p>
          <w:p w14:paraId="5074195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Kidney</w:t>
            </w:r>
          </w:p>
          <w:p w14:paraId="10FCA3A1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Liver (excluding portal)</w:t>
            </w:r>
          </w:p>
          <w:p w14:paraId="471E117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Other tissues</w:t>
            </w:r>
          </w:p>
        </w:tc>
        <w:tc>
          <w:tcPr>
            <w:tcW w:w="900" w:type="dxa"/>
          </w:tcPr>
          <w:p w14:paraId="67918C2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qbc</w:t>
            </w:r>
          </w:p>
          <w:p w14:paraId="55BA804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qkc</w:t>
            </w:r>
          </w:p>
          <w:p w14:paraId="6ED8AC1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qlc</w:t>
            </w:r>
          </w:p>
          <w:p w14:paraId="094DD475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qotc</w:t>
            </w:r>
          </w:p>
        </w:tc>
        <w:tc>
          <w:tcPr>
            <w:tcW w:w="1080" w:type="dxa"/>
          </w:tcPr>
          <w:p w14:paraId="09DC3CB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 (fraction of cardiac output)</w:t>
            </w:r>
          </w:p>
        </w:tc>
        <w:tc>
          <w:tcPr>
            <w:tcW w:w="990" w:type="dxa"/>
          </w:tcPr>
          <w:p w14:paraId="6110D78B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  <w:p w14:paraId="5E29E4C2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0.19</w:t>
            </w:r>
          </w:p>
          <w:p w14:paraId="0839CA96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</w:t>
            </w:r>
          </w:p>
          <w:p w14:paraId="2C1D836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calc</w:t>
            </w:r>
          </w:p>
        </w:tc>
        <w:tc>
          <w:tcPr>
            <w:tcW w:w="5850" w:type="dxa"/>
          </w:tcPr>
          <w:p w14:paraId="42EBDBA5" w14:textId="77777777" w:rsidR="00397035" w:rsidRDefault="007915AF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Tissue blood flows for adult</w:t>
            </w:r>
            <w:r w:rsidR="006218B8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were obtained from </w:t>
            </w:r>
            <w:r w:rsidR="00936D45">
              <w:rPr>
                <w:sz w:val="16"/>
                <w:szCs w:val="16"/>
              </w:rPr>
              <w:t>ICRP[45]</w:t>
            </w:r>
            <w:r>
              <w:rPr>
                <w:sz w:val="16"/>
                <w:szCs w:val="16"/>
              </w:rPr>
              <w:t>.</w:t>
            </w:r>
          </w:p>
          <w:p w14:paraId="6AD6612D" w14:textId="6D560E79" w:rsidR="00397035" w:rsidRDefault="00397035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11E99A6C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6D2482" w:rsidRPr="007C4158" w14:paraId="31E00ED9" w14:textId="77777777" w:rsidTr="006D2482">
        <w:tc>
          <w:tcPr>
            <w:tcW w:w="1368" w:type="dxa"/>
          </w:tcPr>
          <w:p w14:paraId="645A7A0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Blood Tissue Transfer Coefficients</w:t>
            </w:r>
          </w:p>
        </w:tc>
        <w:tc>
          <w:tcPr>
            <w:tcW w:w="2430" w:type="dxa"/>
          </w:tcPr>
          <w:p w14:paraId="7E0817C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Cr(VI): plasma to tissue</w:t>
            </w:r>
          </w:p>
          <w:p w14:paraId="17857188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 xml:space="preserve">C-Cr(III): plasma to kidney </w:t>
            </w:r>
          </w:p>
          <w:p w14:paraId="19E96E38" w14:textId="77777777" w:rsidR="006218B8" w:rsidRPr="007C4158" w:rsidRDefault="006218B8" w:rsidP="006218B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T-Cr(III): plasma to kidney</w:t>
            </w:r>
          </w:p>
          <w:p w14:paraId="699FF4AF" w14:textId="77777777" w:rsidR="00792DE1" w:rsidRDefault="00792DE1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75613D7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T-Cr(III): plasma to bone</w:t>
            </w:r>
          </w:p>
          <w:p w14:paraId="6BF2393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T-Cr(III): plasma to liver</w:t>
            </w:r>
          </w:p>
          <w:p w14:paraId="468A7F6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T-Cr(III): plasma to other</w:t>
            </w:r>
          </w:p>
          <w:p w14:paraId="4A4551E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C-Cr(III): bone to plasma</w:t>
            </w:r>
          </w:p>
          <w:p w14:paraId="6064D8F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C-Cr(III): liver to plasma</w:t>
            </w:r>
          </w:p>
          <w:p w14:paraId="17E3B2A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C-Cr(III): other to plasma</w:t>
            </w:r>
          </w:p>
          <w:p w14:paraId="448F85BA" w14:textId="77777777" w:rsidR="00012E25" w:rsidRDefault="00012E25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29E5736D" w14:textId="06D2D5F7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Scaling factors for plasma to tissue, tissue to plasma</w:t>
            </w:r>
          </w:p>
          <w:p w14:paraId="039817B3" w14:textId="77777777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154A6CD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Cr(VI): plasma to erythrocyte</w:t>
            </w:r>
          </w:p>
          <w:p w14:paraId="633F483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T-Cr(III): plasma to erythrocyte</w:t>
            </w:r>
          </w:p>
          <w:p w14:paraId="0DC1DEA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C-Cr(III): erythrocyte to plasma</w:t>
            </w:r>
          </w:p>
        </w:tc>
        <w:tc>
          <w:tcPr>
            <w:tcW w:w="900" w:type="dxa"/>
          </w:tcPr>
          <w:p w14:paraId="6186F4B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kin6</w:t>
            </w:r>
          </w:p>
          <w:p w14:paraId="1166369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kinccr</w:t>
            </w:r>
          </w:p>
          <w:p w14:paraId="194833B7" w14:textId="57AB15B2" w:rsidR="006D2482" w:rsidRPr="007C4158" w:rsidRDefault="006218B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kintcrk</w:t>
            </w:r>
          </w:p>
          <w:p w14:paraId="387AD8E8" w14:textId="77777777" w:rsidR="00792DE1" w:rsidRDefault="00792DE1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01F4C18F" w14:textId="277337AC" w:rsidR="006D2482" w:rsidRPr="007C4158" w:rsidRDefault="006218B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kintcrb</w:t>
            </w:r>
          </w:p>
          <w:p w14:paraId="25B248C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kintcrl</w:t>
            </w:r>
          </w:p>
          <w:p w14:paraId="439E5B6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kintcrot</w:t>
            </w:r>
          </w:p>
          <w:p w14:paraId="2D26355F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koutccrb</w:t>
            </w:r>
          </w:p>
          <w:p w14:paraId="2DDA500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koutccrl</w:t>
            </w:r>
          </w:p>
          <w:p w14:paraId="2B3C360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koutccrot</w:t>
            </w:r>
          </w:p>
          <w:p w14:paraId="45996C88" w14:textId="77777777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510A13C6" w14:textId="77777777" w:rsidR="00012E25" w:rsidRDefault="00BD61FA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SFin</w:t>
            </w:r>
          </w:p>
          <w:p w14:paraId="104EF292" w14:textId="3BCD30F5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SFout</w:t>
            </w:r>
          </w:p>
          <w:p w14:paraId="7CD1E193" w14:textId="77777777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3FF20B41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krbcin6</w:t>
            </w:r>
          </w:p>
          <w:p w14:paraId="43A68C7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krbcin3</w:t>
            </w:r>
          </w:p>
          <w:p w14:paraId="6768630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krbcout3</w:t>
            </w:r>
          </w:p>
        </w:tc>
        <w:tc>
          <w:tcPr>
            <w:tcW w:w="1080" w:type="dxa"/>
          </w:tcPr>
          <w:p w14:paraId="2AAB4E7F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08EF20E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58CDEB53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5BE0155F" w14:textId="77777777" w:rsidR="00792DE1" w:rsidRDefault="00792DE1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6EC9ABD6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49D22508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1DE37A2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3AD1E04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2095701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1FF9DE9A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Unitless</w:t>
            </w:r>
          </w:p>
          <w:p w14:paraId="0AA57FA7" w14:textId="77777777" w:rsidR="00012E25" w:rsidRDefault="00012E25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148CD903" w14:textId="616717C1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Unitless</w:t>
            </w:r>
          </w:p>
          <w:p w14:paraId="6289E427" w14:textId="4B073BB4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Unitless</w:t>
            </w:r>
          </w:p>
          <w:p w14:paraId="1AC7C369" w14:textId="77777777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4FDD6EE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L/hr</w:t>
            </w:r>
          </w:p>
          <w:p w14:paraId="7CF51751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L/hr</w:t>
            </w:r>
          </w:p>
          <w:p w14:paraId="618C787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L/hr</w:t>
            </w:r>
          </w:p>
        </w:tc>
        <w:tc>
          <w:tcPr>
            <w:tcW w:w="990" w:type="dxa"/>
          </w:tcPr>
          <w:p w14:paraId="64F702D6" w14:textId="60CE6967" w:rsidR="006D2482" w:rsidRDefault="006218B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</w:t>
            </w:r>
          </w:p>
          <w:p w14:paraId="7334CB1E" w14:textId="1D1F1AAD" w:rsidR="005E06E7" w:rsidRDefault="00792DE1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</w:t>
            </w:r>
            <w:r w:rsidR="007C0DF0" w:rsidRPr="007C0DF0">
              <w:rPr>
                <w:sz w:val="16"/>
                <w:szCs w:val="16"/>
                <w:vertAlign w:val="superscript"/>
              </w:rPr>
              <w:t>a</w:t>
            </w:r>
          </w:p>
          <w:p w14:paraId="4B613602" w14:textId="72081793" w:rsidR="005E06E7" w:rsidRDefault="00792DE1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</w:t>
            </w:r>
            <w:r w:rsidR="007C0DF0">
              <w:rPr>
                <w:sz w:val="16"/>
                <w:szCs w:val="16"/>
                <w:vertAlign w:val="superscript"/>
              </w:rPr>
              <w:t>b</w:t>
            </w:r>
          </w:p>
          <w:p w14:paraId="367BAB4F" w14:textId="77777777" w:rsidR="00792DE1" w:rsidRDefault="00792DE1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6B61CB28" w14:textId="1AC5B01A" w:rsidR="005E06E7" w:rsidRDefault="00792DE1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</w:t>
            </w:r>
          </w:p>
          <w:p w14:paraId="21BBB4F8" w14:textId="6DD35A03" w:rsidR="005E06E7" w:rsidRDefault="00012E25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0.081</w:t>
            </w:r>
          </w:p>
          <w:p w14:paraId="391A5640" w14:textId="58CC7BDA" w:rsidR="005E06E7" w:rsidRDefault="00012E25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0.016</w:t>
            </w:r>
          </w:p>
          <w:p w14:paraId="426BAC04" w14:textId="34E6FE72" w:rsidR="005E06E7" w:rsidRDefault="005E06E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012E25">
              <w:rPr>
                <w:sz w:val="16"/>
                <w:szCs w:val="16"/>
              </w:rPr>
              <w:t>.000057</w:t>
            </w:r>
          </w:p>
          <w:p w14:paraId="37B2FC55" w14:textId="79A1C3CF" w:rsidR="005E06E7" w:rsidRDefault="00012E25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0.0004</w:t>
            </w:r>
          </w:p>
          <w:p w14:paraId="68870B6A" w14:textId="09BE0E71" w:rsidR="005E06E7" w:rsidRDefault="00012E25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0.0002</w:t>
            </w:r>
          </w:p>
          <w:p w14:paraId="0A1EF2A7" w14:textId="77777777" w:rsidR="00012E25" w:rsidRDefault="00012E25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5B3CC689" w14:textId="6F8A3424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</w:t>
            </w:r>
          </w:p>
          <w:p w14:paraId="5F0297EA" w14:textId="23FF3B6C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  <w:p w14:paraId="7CA0421F" w14:textId="77777777" w:rsidR="00BD61FA" w:rsidRDefault="00BD61FA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1FCDC6BD" w14:textId="69E0368B" w:rsidR="005E06E7" w:rsidRDefault="00012E25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5E06E7">
              <w:rPr>
                <w:sz w:val="16"/>
                <w:szCs w:val="16"/>
              </w:rPr>
              <w:t>.</w:t>
            </w:r>
          </w:p>
          <w:p w14:paraId="344E0359" w14:textId="4520DE68" w:rsidR="005E06E7" w:rsidRDefault="00012E25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0.0018</w:t>
            </w:r>
          </w:p>
          <w:p w14:paraId="2FE33A23" w14:textId="71541A8F" w:rsidR="005E06E7" w:rsidRPr="007C4158" w:rsidRDefault="005E06E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  <w:r w:rsidR="00012E25">
              <w:rPr>
                <w:sz w:val="16"/>
                <w:szCs w:val="16"/>
              </w:rPr>
              <w:t>2</w:t>
            </w:r>
          </w:p>
        </w:tc>
        <w:tc>
          <w:tcPr>
            <w:tcW w:w="5850" w:type="dxa"/>
          </w:tcPr>
          <w:p w14:paraId="2061D65B" w14:textId="661C582C" w:rsidR="006218B8" w:rsidRDefault="006218B8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Based on the average value estimated for rodents</w:t>
            </w:r>
            <w:r w:rsidR="00936D45">
              <w:rPr>
                <w:sz w:val="16"/>
                <w:szCs w:val="16"/>
              </w:rPr>
              <w:t>[16]</w:t>
            </w:r>
          </w:p>
          <w:p w14:paraId="0A2B884C" w14:textId="2FE46FC0" w:rsidR="006218B8" w:rsidRPr="006218B8" w:rsidRDefault="00792DE1" w:rsidP="007C4158">
            <w:pPr>
              <w:spacing w:line="360" w:lineRule="auto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7C4158">
              <w:rPr>
                <w:sz w:val="16"/>
                <w:szCs w:val="16"/>
              </w:rPr>
              <w:t xml:space="preserve">odel parameters </w:t>
            </w:r>
            <w:r>
              <w:rPr>
                <w:sz w:val="16"/>
                <w:szCs w:val="16"/>
              </w:rPr>
              <w:t xml:space="preserve">for (kinccr, kintcrk) </w:t>
            </w:r>
            <w:r w:rsidRPr="007C4158">
              <w:rPr>
                <w:sz w:val="16"/>
                <w:szCs w:val="16"/>
              </w:rPr>
              <w:t xml:space="preserve">to </w:t>
            </w:r>
            <w:r>
              <w:rPr>
                <w:sz w:val="16"/>
                <w:szCs w:val="16"/>
              </w:rPr>
              <w:t xml:space="preserve">adjusted to </w:t>
            </w:r>
            <w:r w:rsidRPr="007C4158">
              <w:rPr>
                <w:sz w:val="16"/>
                <w:szCs w:val="16"/>
              </w:rPr>
              <w:t xml:space="preserve">fit </w:t>
            </w:r>
            <w:r>
              <w:rPr>
                <w:sz w:val="16"/>
                <w:szCs w:val="16"/>
              </w:rPr>
              <w:t>plasma and urine data for Cr(III) and Cr(VI) data sets (see Table 1), with early time points being dependent on kintcrk and late time points being dependent on kinccr.</w:t>
            </w:r>
          </w:p>
          <w:p w14:paraId="03F2507E" w14:textId="1AADB69B" w:rsidR="00792DE1" w:rsidRDefault="00111FA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Based upon the similarity in liver:kidney tissue ratios in mice and humans (i.e., greater than 1 in both species), human parameter values for distribution of Cr(III) in liver, bone, and other tissues were scaled from mice rather than rats</w:t>
            </w:r>
            <w:r w:rsidR="00936D45">
              <w:rPr>
                <w:sz w:val="16"/>
                <w:szCs w:val="16"/>
              </w:rPr>
              <w:t>[16]</w:t>
            </w:r>
            <w:r w:rsidR="00012E25">
              <w:rPr>
                <w:sz w:val="16"/>
                <w:szCs w:val="16"/>
              </w:rPr>
              <w:t>, where the scaling factor was adjusted to provide fits to plasma data</w:t>
            </w:r>
            <w:r>
              <w:rPr>
                <w:sz w:val="16"/>
                <w:szCs w:val="16"/>
              </w:rPr>
              <w:t xml:space="preserve">. </w:t>
            </w:r>
            <w:r w:rsidR="00792DE1">
              <w:rPr>
                <w:sz w:val="16"/>
                <w:szCs w:val="16"/>
              </w:rPr>
              <w:t xml:space="preserve"> </w:t>
            </w:r>
            <w:r w:rsidR="00012E25">
              <w:rPr>
                <w:sz w:val="16"/>
                <w:szCs w:val="16"/>
              </w:rPr>
              <w:t>Mouse plasma-to-</w:t>
            </w:r>
            <w:r w:rsidR="00792DE1">
              <w:rPr>
                <w:sz w:val="16"/>
                <w:szCs w:val="16"/>
              </w:rPr>
              <w:t xml:space="preserve">tissue </w:t>
            </w:r>
            <w:r w:rsidR="00012E25">
              <w:rPr>
                <w:sz w:val="16"/>
                <w:szCs w:val="16"/>
              </w:rPr>
              <w:t xml:space="preserve">parameter values </w:t>
            </w:r>
            <w:r w:rsidR="00792DE1">
              <w:rPr>
                <w:sz w:val="16"/>
                <w:szCs w:val="16"/>
              </w:rPr>
              <w:t xml:space="preserve">were multiplied by a factor of 0.15.  </w:t>
            </w:r>
            <w:r w:rsidR="00012E25">
              <w:rPr>
                <w:sz w:val="16"/>
                <w:szCs w:val="16"/>
              </w:rPr>
              <w:t>Mouse tissue-to-</w:t>
            </w:r>
            <w:r w:rsidR="00792DE1">
              <w:rPr>
                <w:sz w:val="16"/>
                <w:szCs w:val="16"/>
              </w:rPr>
              <w:t>plasma parameter value</w:t>
            </w:r>
            <w:r w:rsidR="00012E25">
              <w:rPr>
                <w:sz w:val="16"/>
                <w:szCs w:val="16"/>
              </w:rPr>
              <w:t>s</w:t>
            </w:r>
            <w:r w:rsidR="00792DE1">
              <w:rPr>
                <w:sz w:val="16"/>
                <w:szCs w:val="16"/>
              </w:rPr>
              <w:t xml:space="preserve"> were multiplied by a scaling factor of 40.</w:t>
            </w:r>
          </w:p>
          <w:p w14:paraId="1E9010E1" w14:textId="77777777" w:rsidR="00EC31C9" w:rsidRDefault="00EC31C9" w:rsidP="007C4158">
            <w:pPr>
              <w:spacing w:line="360" w:lineRule="auto"/>
              <w:rPr>
                <w:sz w:val="16"/>
                <w:szCs w:val="16"/>
              </w:rPr>
            </w:pPr>
          </w:p>
          <w:p w14:paraId="5673DD99" w14:textId="085EA2F9" w:rsidR="00792DE1" w:rsidRDefault="00BD61FA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Values adjusted based upon fits to data sets with multiple time points for plasma</w:t>
            </w:r>
            <w:r w:rsidR="00936D45">
              <w:rPr>
                <w:sz w:val="16"/>
                <w:szCs w:val="16"/>
              </w:rPr>
              <w:t>[30,31,36,42]</w:t>
            </w:r>
          </w:p>
          <w:p w14:paraId="17E43D04" w14:textId="77777777" w:rsidR="00EC31C9" w:rsidRDefault="00EC31C9" w:rsidP="00936D45">
            <w:pPr>
              <w:spacing w:line="360" w:lineRule="auto"/>
              <w:rPr>
                <w:sz w:val="16"/>
                <w:szCs w:val="16"/>
              </w:rPr>
            </w:pPr>
          </w:p>
          <w:p w14:paraId="01C9B2E1" w14:textId="62589B5B" w:rsidR="006D2482" w:rsidRPr="007C4158" w:rsidRDefault="00111FA7" w:rsidP="00936D45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Parameter values for distribution to erythrocytes </w:t>
            </w:r>
            <w:r w:rsidR="008A4DA6">
              <w:rPr>
                <w:sz w:val="16"/>
                <w:szCs w:val="16"/>
              </w:rPr>
              <w:t xml:space="preserve">(krbcin6, krbcin3, krbcout3) </w:t>
            </w:r>
            <w:r>
              <w:rPr>
                <w:sz w:val="16"/>
                <w:szCs w:val="16"/>
              </w:rPr>
              <w:t>were adjusted to fit data from Volpe et al.</w:t>
            </w:r>
            <w:r w:rsidR="00936D45">
              <w:rPr>
                <w:sz w:val="16"/>
                <w:szCs w:val="16"/>
              </w:rPr>
              <w:t>[32]</w:t>
            </w:r>
            <w:r w:rsidR="00612D7A">
              <w:rPr>
                <w:sz w:val="16"/>
                <w:szCs w:val="16"/>
              </w:rPr>
              <w:t xml:space="preserve"> and </w:t>
            </w:r>
            <w:r w:rsidR="00051AD1">
              <w:rPr>
                <w:sz w:val="16"/>
                <w:szCs w:val="16"/>
              </w:rPr>
              <w:t>Goullé</w:t>
            </w:r>
            <w:r w:rsidR="00612D7A">
              <w:rPr>
                <w:sz w:val="16"/>
                <w:szCs w:val="16"/>
              </w:rPr>
              <w:t xml:space="preserve"> et al.</w:t>
            </w:r>
            <w:r w:rsidR="00936D45">
              <w:rPr>
                <w:sz w:val="16"/>
                <w:szCs w:val="16"/>
              </w:rPr>
              <w:t>[42]</w:t>
            </w:r>
            <w:r w:rsidR="00074E9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6D2482" w:rsidRPr="007C4158" w14:paraId="35205442" w14:textId="77777777" w:rsidTr="006D2482">
        <w:tc>
          <w:tcPr>
            <w:tcW w:w="1368" w:type="dxa"/>
          </w:tcPr>
          <w:p w14:paraId="7BA65BA5" w14:textId="3FBC747A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Reduction in Tissues</w:t>
            </w:r>
          </w:p>
        </w:tc>
        <w:tc>
          <w:tcPr>
            <w:tcW w:w="2430" w:type="dxa"/>
          </w:tcPr>
          <w:p w14:paraId="3816BE5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Cr(VI) reduction in tissues</w:t>
            </w:r>
          </w:p>
          <w:p w14:paraId="5B9174CF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Cr(VI) reduction in plasma</w:t>
            </w:r>
          </w:p>
          <w:p w14:paraId="763B1B8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Cr(VI) reduction in erythrocytes</w:t>
            </w:r>
          </w:p>
        </w:tc>
        <w:tc>
          <w:tcPr>
            <w:tcW w:w="900" w:type="dxa"/>
          </w:tcPr>
          <w:p w14:paraId="549C5E0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kred</w:t>
            </w:r>
          </w:p>
          <w:p w14:paraId="0DCF940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kredbp</w:t>
            </w:r>
          </w:p>
          <w:p w14:paraId="6F6F6CF8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kredrc</w:t>
            </w:r>
          </w:p>
        </w:tc>
        <w:tc>
          <w:tcPr>
            <w:tcW w:w="1080" w:type="dxa"/>
          </w:tcPr>
          <w:p w14:paraId="20B4536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/hr</w:t>
            </w:r>
          </w:p>
        </w:tc>
        <w:tc>
          <w:tcPr>
            <w:tcW w:w="990" w:type="dxa"/>
          </w:tcPr>
          <w:p w14:paraId="40F0E3F2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71</w:t>
            </w:r>
          </w:p>
          <w:p w14:paraId="74659DF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0.66</w:t>
            </w:r>
          </w:p>
          <w:p w14:paraId="796A11E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71</w:t>
            </w:r>
          </w:p>
        </w:tc>
        <w:tc>
          <w:tcPr>
            <w:tcW w:w="5850" w:type="dxa"/>
          </w:tcPr>
          <w:p w14:paraId="753CB608" w14:textId="2D3C19EE" w:rsidR="006D2482" w:rsidRPr="007C4158" w:rsidRDefault="006D2482" w:rsidP="00936D45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For rats, rates for reduction in erythrocytes and plasma are based on the data of Richelmi and Baldi</w:t>
            </w:r>
            <w:r w:rsidR="00936D45">
              <w:rPr>
                <w:sz w:val="16"/>
                <w:szCs w:val="16"/>
              </w:rPr>
              <w:t>[58]</w:t>
            </w:r>
            <w:r w:rsidRPr="007C4158">
              <w:rPr>
                <w:sz w:val="16"/>
                <w:szCs w:val="16"/>
              </w:rPr>
              <w:t>.  Intracellular rate for erythrocytes was adopted for all tissues.  All rat values were adopted for the mouse.</w:t>
            </w:r>
          </w:p>
        </w:tc>
      </w:tr>
      <w:tr w:rsidR="006D2482" w:rsidRPr="007C4158" w14:paraId="4841BB35" w14:textId="77777777" w:rsidTr="006D2482">
        <w:tc>
          <w:tcPr>
            <w:tcW w:w="1368" w:type="dxa"/>
          </w:tcPr>
          <w:p w14:paraId="344D2B7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Excretion</w:t>
            </w:r>
          </w:p>
        </w:tc>
        <w:tc>
          <w:tcPr>
            <w:tcW w:w="2430" w:type="dxa"/>
          </w:tcPr>
          <w:p w14:paraId="0F8A272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Urinary excretion rate</w:t>
            </w:r>
          </w:p>
        </w:tc>
        <w:tc>
          <w:tcPr>
            <w:tcW w:w="900" w:type="dxa"/>
          </w:tcPr>
          <w:p w14:paraId="420C438E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kurcc</w:t>
            </w:r>
          </w:p>
          <w:p w14:paraId="6B887041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14:paraId="6C476D5D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/hr</w:t>
            </w:r>
          </w:p>
        </w:tc>
        <w:tc>
          <w:tcPr>
            <w:tcW w:w="990" w:type="dxa"/>
          </w:tcPr>
          <w:p w14:paraId="0B3B7D74" w14:textId="77777777" w:rsidR="006D2482" w:rsidRPr="007C4158" w:rsidRDefault="005E06E7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</w:t>
            </w:r>
            <w:r w:rsidR="00BA5AB4">
              <w:rPr>
                <w:sz w:val="16"/>
                <w:szCs w:val="16"/>
              </w:rPr>
              <w:t>3</w:t>
            </w:r>
          </w:p>
        </w:tc>
        <w:tc>
          <w:tcPr>
            <w:tcW w:w="5850" w:type="dxa"/>
          </w:tcPr>
          <w:p w14:paraId="6B201139" w14:textId="1164A7D2" w:rsidR="006D2482" w:rsidRPr="007C4158" w:rsidRDefault="00BA5AB4" w:rsidP="00012E25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Value obtained by a</w:t>
            </w:r>
            <w:r w:rsidR="006D2482" w:rsidRPr="007C4158">
              <w:rPr>
                <w:sz w:val="16"/>
                <w:szCs w:val="16"/>
              </w:rPr>
              <w:t>djust</w:t>
            </w:r>
            <w:r w:rsidR="00346857">
              <w:rPr>
                <w:sz w:val="16"/>
                <w:szCs w:val="16"/>
              </w:rPr>
              <w:t>ing parameter to provide</w:t>
            </w:r>
            <w:r w:rsidR="006D2482" w:rsidRPr="007C4158">
              <w:rPr>
                <w:sz w:val="16"/>
                <w:szCs w:val="16"/>
              </w:rPr>
              <w:t xml:space="preserve"> fits to </w:t>
            </w:r>
            <w:r w:rsidR="00074E98">
              <w:rPr>
                <w:sz w:val="16"/>
                <w:szCs w:val="16"/>
              </w:rPr>
              <w:t xml:space="preserve">all Cr(III) and Cr(VI) </w:t>
            </w:r>
            <w:r w:rsidR="00346857">
              <w:rPr>
                <w:sz w:val="16"/>
                <w:szCs w:val="16"/>
              </w:rPr>
              <w:t xml:space="preserve">urinary excretion </w:t>
            </w:r>
            <w:r w:rsidR="006D2482" w:rsidRPr="007C4158">
              <w:rPr>
                <w:sz w:val="16"/>
                <w:szCs w:val="16"/>
              </w:rPr>
              <w:t>data</w:t>
            </w:r>
            <w:r w:rsidR="00012E25">
              <w:rPr>
                <w:sz w:val="16"/>
                <w:szCs w:val="16"/>
              </w:rPr>
              <w:t xml:space="preserve"> </w:t>
            </w:r>
            <w:r w:rsidR="00012E25" w:rsidRPr="007C4158">
              <w:rPr>
                <w:sz w:val="16"/>
                <w:szCs w:val="16"/>
              </w:rPr>
              <w:t>(</w:t>
            </w:r>
            <w:r w:rsidR="00012E25">
              <w:rPr>
                <w:sz w:val="16"/>
                <w:szCs w:val="16"/>
              </w:rPr>
              <w:t>Table 1), while maintaining a liver:kidney tissue concentration ratio above 1</w:t>
            </w:r>
            <w:r w:rsidR="00074E98">
              <w:rPr>
                <w:sz w:val="16"/>
                <w:szCs w:val="16"/>
              </w:rPr>
              <w:t xml:space="preserve"> </w:t>
            </w:r>
            <w:r w:rsidR="00012E25">
              <w:rPr>
                <w:sz w:val="16"/>
                <w:szCs w:val="16"/>
              </w:rPr>
              <w:t xml:space="preserve">during exposure. </w:t>
            </w:r>
          </w:p>
        </w:tc>
      </w:tr>
      <w:tr w:rsidR="006D2482" w:rsidRPr="007C4158" w14:paraId="51D2B8F9" w14:textId="77777777" w:rsidTr="006D2482">
        <w:tc>
          <w:tcPr>
            <w:tcW w:w="1368" w:type="dxa"/>
          </w:tcPr>
          <w:p w14:paraId="1CB7B1B4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General</w:t>
            </w:r>
          </w:p>
        </w:tc>
        <w:tc>
          <w:tcPr>
            <w:tcW w:w="2430" w:type="dxa"/>
          </w:tcPr>
          <w:p w14:paraId="4E290AE0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Body weight</w:t>
            </w:r>
          </w:p>
          <w:p w14:paraId="17930DF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Cardiac output</w:t>
            </w:r>
          </w:p>
        </w:tc>
        <w:tc>
          <w:tcPr>
            <w:tcW w:w="900" w:type="dxa"/>
          </w:tcPr>
          <w:p w14:paraId="7F8B875B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wbody</w:t>
            </w:r>
          </w:p>
          <w:p w14:paraId="26D4AAF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qcc</w:t>
            </w:r>
          </w:p>
        </w:tc>
        <w:tc>
          <w:tcPr>
            <w:tcW w:w="1080" w:type="dxa"/>
          </w:tcPr>
          <w:p w14:paraId="47AF97C7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kg</w:t>
            </w:r>
          </w:p>
          <w:p w14:paraId="365E8329" w14:textId="77777777" w:rsidR="006D2482" w:rsidRPr="007C4158" w:rsidRDefault="006D2482" w:rsidP="007C4158">
            <w:pPr>
              <w:spacing w:line="360" w:lineRule="auto"/>
              <w:rPr>
                <w:sz w:val="16"/>
                <w:szCs w:val="16"/>
              </w:rPr>
            </w:pPr>
            <w:r w:rsidRPr="007C4158">
              <w:rPr>
                <w:sz w:val="16"/>
                <w:szCs w:val="16"/>
              </w:rPr>
              <w:t>L/hr</w:t>
            </w:r>
          </w:p>
        </w:tc>
        <w:tc>
          <w:tcPr>
            <w:tcW w:w="990" w:type="dxa"/>
          </w:tcPr>
          <w:p w14:paraId="62DA9BE0" w14:textId="4BB84850" w:rsidR="006D2482" w:rsidRPr="007C4158" w:rsidRDefault="00012E25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  <w:p w14:paraId="779AD45C" w14:textId="77777777" w:rsidR="006D2482" w:rsidRPr="007C4158" w:rsidRDefault="00624234" w:rsidP="007C4158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15.6</w:t>
            </w:r>
          </w:p>
        </w:tc>
        <w:tc>
          <w:tcPr>
            <w:tcW w:w="5850" w:type="dxa"/>
          </w:tcPr>
          <w:p w14:paraId="09D1D485" w14:textId="45BD7DB9" w:rsidR="006D2482" w:rsidRPr="007C4158" w:rsidRDefault="00074E98" w:rsidP="00936D45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Values for adult males were obtained from </w:t>
            </w:r>
            <w:r w:rsidR="00624234">
              <w:rPr>
                <w:sz w:val="16"/>
                <w:szCs w:val="16"/>
              </w:rPr>
              <w:t>ICRP</w:t>
            </w:r>
            <w:r w:rsidR="00936D45">
              <w:rPr>
                <w:sz w:val="16"/>
                <w:szCs w:val="16"/>
              </w:rPr>
              <w:t>[45]</w:t>
            </w:r>
          </w:p>
        </w:tc>
      </w:tr>
    </w:tbl>
    <w:p w14:paraId="1C0F0D50" w14:textId="42821A6F" w:rsidR="00F61282" w:rsidRPr="0032021A" w:rsidRDefault="00B20869" w:rsidP="00786696">
      <w:pPr>
        <w:spacing w:line="360" w:lineRule="auto"/>
        <w:rPr>
          <w:sz w:val="20"/>
          <w:szCs w:val="20"/>
        </w:rPr>
      </w:pPr>
      <w:r w:rsidRPr="0032021A">
        <w:rPr>
          <w:sz w:val="20"/>
          <w:szCs w:val="20"/>
          <w:vertAlign w:val="superscript"/>
        </w:rPr>
        <w:t>a</w:t>
      </w:r>
      <w:r w:rsidRPr="0032021A">
        <w:rPr>
          <w:sz w:val="20"/>
          <w:szCs w:val="20"/>
        </w:rPr>
        <w:t>Data set of Mohamedshah et al.</w:t>
      </w:r>
      <w:r w:rsidR="00936D45">
        <w:rPr>
          <w:sz w:val="20"/>
          <w:szCs w:val="20"/>
        </w:rPr>
        <w:t>[30]</w:t>
      </w:r>
      <w:r w:rsidRPr="0032021A">
        <w:rPr>
          <w:sz w:val="20"/>
          <w:szCs w:val="20"/>
        </w:rPr>
        <w:t xml:space="preserve"> required a slow</w:t>
      </w:r>
      <w:r w:rsidR="007C0DF0" w:rsidRPr="0032021A">
        <w:rPr>
          <w:sz w:val="20"/>
          <w:szCs w:val="20"/>
        </w:rPr>
        <w:t>er clearance from plasma (kinccr</w:t>
      </w:r>
      <w:r w:rsidRPr="0032021A">
        <w:rPr>
          <w:sz w:val="20"/>
          <w:szCs w:val="20"/>
        </w:rPr>
        <w:t>=</w:t>
      </w:r>
      <w:r w:rsidR="007C0DF0" w:rsidRPr="0032021A">
        <w:rPr>
          <w:sz w:val="20"/>
          <w:szCs w:val="20"/>
        </w:rPr>
        <w:t>0.012).  Data set of Paustenbach et al.</w:t>
      </w:r>
      <w:r w:rsidR="00936D45">
        <w:rPr>
          <w:sz w:val="20"/>
          <w:szCs w:val="20"/>
        </w:rPr>
        <w:t>[36]</w:t>
      </w:r>
      <w:r w:rsidR="007C0DF0" w:rsidRPr="0032021A">
        <w:rPr>
          <w:sz w:val="20"/>
          <w:szCs w:val="20"/>
        </w:rPr>
        <w:t xml:space="preserve"> required a more rapid clearance from plasma (kinccr=0.06).</w:t>
      </w:r>
    </w:p>
    <w:p w14:paraId="7ED6BB5B" w14:textId="003636AF" w:rsidR="007C0DF0" w:rsidRPr="0032021A" w:rsidRDefault="007C0DF0" w:rsidP="00786696">
      <w:pPr>
        <w:spacing w:line="360" w:lineRule="auto"/>
        <w:rPr>
          <w:sz w:val="20"/>
          <w:szCs w:val="20"/>
        </w:rPr>
      </w:pPr>
      <w:r w:rsidRPr="0032021A">
        <w:rPr>
          <w:sz w:val="20"/>
          <w:szCs w:val="20"/>
          <w:vertAlign w:val="superscript"/>
        </w:rPr>
        <w:t>b</w:t>
      </w:r>
      <w:r w:rsidRPr="0032021A">
        <w:rPr>
          <w:sz w:val="20"/>
          <w:szCs w:val="20"/>
        </w:rPr>
        <w:t>Data set of Mohamedshah et al.</w:t>
      </w:r>
      <w:r w:rsidR="00936D45">
        <w:rPr>
          <w:sz w:val="20"/>
          <w:szCs w:val="20"/>
        </w:rPr>
        <w:t>[30]</w:t>
      </w:r>
      <w:r w:rsidRPr="0032021A">
        <w:rPr>
          <w:sz w:val="20"/>
          <w:szCs w:val="20"/>
        </w:rPr>
        <w:t xml:space="preserve"> required a slower clearance from plasma (kintcrk=0.06).</w:t>
      </w:r>
    </w:p>
    <w:p w14:paraId="087E7C46" w14:textId="77777777" w:rsidR="00E46E35" w:rsidRDefault="00E46E35">
      <w:r>
        <w:br w:type="page"/>
      </w:r>
    </w:p>
    <w:p w14:paraId="77724478" w14:textId="77777777" w:rsidR="00E46E35" w:rsidRPr="00E073FC" w:rsidRDefault="00E46E35" w:rsidP="00786696">
      <w:pPr>
        <w:spacing w:line="360" w:lineRule="auto"/>
        <w:rPr>
          <w:b/>
        </w:rPr>
      </w:pPr>
      <w:r w:rsidRPr="00787D90">
        <w:rPr>
          <w:b/>
        </w:rPr>
        <w:t>Table 4.  Sensitivity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1260"/>
        <w:gridCol w:w="7200"/>
      </w:tblGrid>
      <w:tr w:rsidR="00431F55" w:rsidRPr="00B772C2" w14:paraId="77D7A235" w14:textId="77777777" w:rsidTr="00B772C2">
        <w:tc>
          <w:tcPr>
            <w:tcW w:w="3618" w:type="dxa"/>
          </w:tcPr>
          <w:p w14:paraId="75B9B4E3" w14:textId="77777777" w:rsidR="00431F55" w:rsidRPr="00B772C2" w:rsidRDefault="00431F55" w:rsidP="00B772C2">
            <w:pPr>
              <w:rPr>
                <w:b/>
                <w:sz w:val="20"/>
                <w:szCs w:val="20"/>
              </w:rPr>
            </w:pPr>
            <w:r w:rsidRPr="00B772C2">
              <w:rPr>
                <w:b/>
                <w:sz w:val="20"/>
                <w:szCs w:val="20"/>
              </w:rPr>
              <w:t>Dose Measure</w:t>
            </w:r>
          </w:p>
        </w:tc>
        <w:tc>
          <w:tcPr>
            <w:tcW w:w="1260" w:type="dxa"/>
          </w:tcPr>
          <w:p w14:paraId="705D6E0F" w14:textId="77777777" w:rsidR="00431F55" w:rsidRPr="00B772C2" w:rsidRDefault="00431F55" w:rsidP="00B772C2">
            <w:pPr>
              <w:rPr>
                <w:b/>
                <w:sz w:val="20"/>
                <w:szCs w:val="20"/>
              </w:rPr>
            </w:pPr>
            <w:r w:rsidRPr="00B772C2">
              <w:rPr>
                <w:b/>
                <w:sz w:val="20"/>
                <w:szCs w:val="20"/>
              </w:rPr>
              <w:t>Units</w:t>
            </w:r>
          </w:p>
        </w:tc>
        <w:tc>
          <w:tcPr>
            <w:tcW w:w="7200" w:type="dxa"/>
          </w:tcPr>
          <w:p w14:paraId="4B54308E" w14:textId="77777777" w:rsidR="00431F55" w:rsidRPr="00B772C2" w:rsidRDefault="00431F55" w:rsidP="00B772C2">
            <w:pPr>
              <w:rPr>
                <w:b/>
                <w:sz w:val="20"/>
                <w:szCs w:val="20"/>
              </w:rPr>
            </w:pPr>
            <w:r w:rsidRPr="00B772C2">
              <w:rPr>
                <w:b/>
                <w:sz w:val="20"/>
                <w:szCs w:val="20"/>
              </w:rPr>
              <w:t>Parameter (</w:t>
            </w:r>
            <w:r w:rsidR="00787D90" w:rsidRPr="00B772C2">
              <w:rPr>
                <w:b/>
                <w:sz w:val="20"/>
                <w:szCs w:val="20"/>
              </w:rPr>
              <w:t>symbol: sensitivity*</w:t>
            </w:r>
            <w:r w:rsidRPr="00B772C2">
              <w:rPr>
                <w:b/>
                <w:sz w:val="20"/>
                <w:szCs w:val="20"/>
              </w:rPr>
              <w:t>)</w:t>
            </w:r>
          </w:p>
        </w:tc>
      </w:tr>
      <w:tr w:rsidR="00431F55" w:rsidRPr="00B772C2" w14:paraId="3132E230" w14:textId="77777777" w:rsidTr="00B772C2">
        <w:tc>
          <w:tcPr>
            <w:tcW w:w="3618" w:type="dxa"/>
          </w:tcPr>
          <w:p w14:paraId="2676B74D" w14:textId="77777777" w:rsidR="00431F55" w:rsidRPr="00B772C2" w:rsidRDefault="00431F55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Cr(VI) flux from stomach lumen per kg SI tissue</w:t>
            </w:r>
          </w:p>
        </w:tc>
        <w:tc>
          <w:tcPr>
            <w:tcW w:w="1260" w:type="dxa"/>
          </w:tcPr>
          <w:p w14:paraId="3362DC1E" w14:textId="77777777" w:rsidR="00431F55" w:rsidRPr="00B772C2" w:rsidRDefault="00431F55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mg/kg-day</w:t>
            </w:r>
          </w:p>
        </w:tc>
        <w:tc>
          <w:tcPr>
            <w:tcW w:w="7200" w:type="dxa"/>
          </w:tcPr>
          <w:p w14:paraId="72A327E3" w14:textId="2659A999" w:rsidR="00431F55" w:rsidRPr="00B772C2" w:rsidRDefault="00431F55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 xml:space="preserve">Stomach </w:t>
            </w:r>
            <w:r w:rsidR="00787D90" w:rsidRPr="00B772C2">
              <w:rPr>
                <w:sz w:val="20"/>
                <w:szCs w:val="20"/>
              </w:rPr>
              <w:t xml:space="preserve">lumen </w:t>
            </w:r>
            <w:r w:rsidR="00520667">
              <w:rPr>
                <w:sz w:val="20"/>
                <w:szCs w:val="20"/>
              </w:rPr>
              <w:t>pH (phs: 12.8</w:t>
            </w:r>
            <w:r w:rsidRPr="00B772C2">
              <w:rPr>
                <w:sz w:val="20"/>
                <w:szCs w:val="20"/>
              </w:rPr>
              <w:t>%)</w:t>
            </w:r>
          </w:p>
          <w:p w14:paraId="783E2A1F" w14:textId="2BAB9E97" w:rsidR="00431F55" w:rsidRPr="00B772C2" w:rsidRDefault="00431F55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S</w:t>
            </w:r>
            <w:r w:rsidR="00520667">
              <w:rPr>
                <w:sz w:val="20"/>
                <w:szCs w:val="20"/>
              </w:rPr>
              <w:t>tomach lumen transit (klsd: 10.6</w:t>
            </w:r>
            <w:r w:rsidRPr="00B772C2">
              <w:rPr>
                <w:sz w:val="20"/>
                <w:szCs w:val="20"/>
              </w:rPr>
              <w:t>%)</w:t>
            </w:r>
          </w:p>
          <w:p w14:paraId="03E2CE71" w14:textId="17026714" w:rsidR="00431F55" w:rsidRPr="00B772C2" w:rsidRDefault="00B772C2" w:rsidP="00B77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Lumen</w:t>
            </w:r>
            <w:r w:rsidR="00520667">
              <w:rPr>
                <w:sz w:val="20"/>
                <w:szCs w:val="20"/>
              </w:rPr>
              <w:t xml:space="preserve"> reducing equivalents (cre0: 5.1</w:t>
            </w:r>
            <w:r w:rsidR="00431F55" w:rsidRPr="00B772C2">
              <w:rPr>
                <w:sz w:val="20"/>
                <w:szCs w:val="20"/>
              </w:rPr>
              <w:t>%)</w:t>
            </w:r>
          </w:p>
          <w:p w14:paraId="2F167D2C" w14:textId="77777777" w:rsidR="00431F55" w:rsidRPr="00B772C2" w:rsidRDefault="00787D90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Volume stomach lumen (</w:t>
            </w:r>
            <w:r w:rsidR="00431F55" w:rsidRPr="00B772C2">
              <w:rPr>
                <w:sz w:val="20"/>
                <w:szCs w:val="20"/>
              </w:rPr>
              <w:t>vslc</w:t>
            </w:r>
            <w:r w:rsidRPr="00B772C2">
              <w:rPr>
                <w:sz w:val="20"/>
                <w:szCs w:val="20"/>
              </w:rPr>
              <w:t xml:space="preserve">: </w:t>
            </w:r>
            <w:r w:rsidR="00431F55" w:rsidRPr="00B772C2">
              <w:rPr>
                <w:sz w:val="20"/>
                <w:szCs w:val="20"/>
              </w:rPr>
              <w:t>4.8%</w:t>
            </w:r>
            <w:r w:rsidRPr="00B772C2">
              <w:rPr>
                <w:sz w:val="20"/>
                <w:szCs w:val="20"/>
              </w:rPr>
              <w:t>)</w:t>
            </w:r>
          </w:p>
          <w:p w14:paraId="0CCCDCB3" w14:textId="77777777" w:rsidR="00431F55" w:rsidRPr="00B772C2" w:rsidRDefault="00787D90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Lumen reduction rate (</w:t>
            </w:r>
            <w:r w:rsidR="00431F55" w:rsidRPr="00B772C2">
              <w:rPr>
                <w:sz w:val="20"/>
                <w:szCs w:val="20"/>
              </w:rPr>
              <w:t>k</w:t>
            </w:r>
            <w:r w:rsidRPr="00B772C2">
              <w:rPr>
                <w:sz w:val="20"/>
                <w:szCs w:val="20"/>
              </w:rPr>
              <w:t xml:space="preserve">redgifc: </w:t>
            </w:r>
            <w:r w:rsidR="00431F55" w:rsidRPr="00B772C2">
              <w:rPr>
                <w:sz w:val="20"/>
                <w:szCs w:val="20"/>
              </w:rPr>
              <w:t>4.6%</w:t>
            </w:r>
            <w:r w:rsidRPr="00B772C2">
              <w:rPr>
                <w:sz w:val="20"/>
                <w:szCs w:val="20"/>
              </w:rPr>
              <w:t>)</w:t>
            </w:r>
          </w:p>
          <w:p w14:paraId="2A3B7F18" w14:textId="77777777" w:rsidR="00431F55" w:rsidRPr="00B772C2" w:rsidRDefault="00787D90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Volume ileum (</w:t>
            </w:r>
            <w:r w:rsidR="00431F55" w:rsidRPr="00B772C2">
              <w:rPr>
                <w:sz w:val="20"/>
                <w:szCs w:val="20"/>
              </w:rPr>
              <w:t>vic</w:t>
            </w:r>
            <w:r w:rsidRPr="00B772C2">
              <w:rPr>
                <w:sz w:val="20"/>
                <w:szCs w:val="20"/>
              </w:rPr>
              <w:t xml:space="preserve">: </w:t>
            </w:r>
            <w:r w:rsidR="00431F55" w:rsidRPr="00B772C2">
              <w:rPr>
                <w:sz w:val="20"/>
                <w:szCs w:val="20"/>
              </w:rPr>
              <w:t>2.3%</w:t>
            </w:r>
            <w:r w:rsidRPr="00B772C2">
              <w:rPr>
                <w:sz w:val="20"/>
                <w:szCs w:val="20"/>
              </w:rPr>
              <w:t>)</w:t>
            </w:r>
          </w:p>
          <w:p w14:paraId="47877ACF" w14:textId="77777777" w:rsidR="00431F55" w:rsidRPr="00B772C2" w:rsidRDefault="00787D90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Volume jejunum (</w:t>
            </w:r>
            <w:r w:rsidR="00431F55" w:rsidRPr="00B772C2">
              <w:rPr>
                <w:sz w:val="20"/>
                <w:szCs w:val="20"/>
              </w:rPr>
              <w:t>vjc</w:t>
            </w:r>
            <w:r w:rsidRPr="00B772C2">
              <w:rPr>
                <w:sz w:val="20"/>
                <w:szCs w:val="20"/>
              </w:rPr>
              <w:t xml:space="preserve">: </w:t>
            </w:r>
            <w:r w:rsidR="00431F55" w:rsidRPr="00B772C2">
              <w:rPr>
                <w:sz w:val="20"/>
                <w:szCs w:val="20"/>
              </w:rPr>
              <w:t>2.1%</w:t>
            </w:r>
            <w:r w:rsidRPr="00B772C2">
              <w:rPr>
                <w:sz w:val="20"/>
                <w:szCs w:val="20"/>
              </w:rPr>
              <w:t>)</w:t>
            </w:r>
          </w:p>
          <w:p w14:paraId="337F2ECB" w14:textId="7339DF13" w:rsidR="00431F55" w:rsidRPr="00B772C2" w:rsidRDefault="00787D90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Regeneration of gastric reducing equivalents (</w:t>
            </w:r>
            <w:r w:rsidR="00431F55" w:rsidRPr="00B772C2">
              <w:rPr>
                <w:sz w:val="20"/>
                <w:szCs w:val="20"/>
              </w:rPr>
              <w:t>rfoodc</w:t>
            </w:r>
            <w:r w:rsidRPr="00B772C2">
              <w:rPr>
                <w:sz w:val="20"/>
                <w:szCs w:val="20"/>
              </w:rPr>
              <w:t xml:space="preserve">, </w:t>
            </w:r>
            <w:r w:rsidR="00431F55" w:rsidRPr="00B772C2">
              <w:rPr>
                <w:sz w:val="20"/>
                <w:szCs w:val="20"/>
              </w:rPr>
              <w:t>rgifc</w:t>
            </w:r>
            <w:r w:rsidRPr="00B772C2">
              <w:rPr>
                <w:sz w:val="20"/>
                <w:szCs w:val="20"/>
              </w:rPr>
              <w:t xml:space="preserve">, </w:t>
            </w:r>
            <w:r w:rsidR="00431F55" w:rsidRPr="00B772C2">
              <w:rPr>
                <w:sz w:val="20"/>
                <w:szCs w:val="20"/>
              </w:rPr>
              <w:t>rdrink</w:t>
            </w:r>
            <w:r w:rsidRPr="00B772C2">
              <w:rPr>
                <w:sz w:val="20"/>
                <w:szCs w:val="20"/>
              </w:rPr>
              <w:t xml:space="preserve">c, </w:t>
            </w:r>
            <w:r w:rsidR="00431F55" w:rsidRPr="00B772C2">
              <w:rPr>
                <w:sz w:val="20"/>
                <w:szCs w:val="20"/>
              </w:rPr>
              <w:t>rsalc</w:t>
            </w:r>
            <w:r w:rsidR="00520667">
              <w:rPr>
                <w:sz w:val="20"/>
                <w:szCs w:val="20"/>
              </w:rPr>
              <w:t>: 1.3</w:t>
            </w:r>
            <w:r w:rsidR="00431F55" w:rsidRPr="00B772C2">
              <w:rPr>
                <w:sz w:val="20"/>
                <w:szCs w:val="20"/>
              </w:rPr>
              <w:t>%</w:t>
            </w:r>
            <w:r w:rsidRPr="00B772C2">
              <w:rPr>
                <w:sz w:val="20"/>
                <w:szCs w:val="20"/>
              </w:rPr>
              <w:t>)</w:t>
            </w:r>
          </w:p>
        </w:tc>
      </w:tr>
      <w:tr w:rsidR="00431F55" w:rsidRPr="00B772C2" w14:paraId="417A0E8B" w14:textId="77777777" w:rsidTr="00B772C2">
        <w:tc>
          <w:tcPr>
            <w:tcW w:w="3618" w:type="dxa"/>
          </w:tcPr>
          <w:p w14:paraId="081C0702" w14:textId="3F0AA647" w:rsidR="00431F55" w:rsidRPr="00B772C2" w:rsidRDefault="00431F55" w:rsidP="00656E56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 xml:space="preserve">Cr(VI) flux </w:t>
            </w:r>
            <w:r w:rsidR="00CC4F81">
              <w:rPr>
                <w:sz w:val="20"/>
                <w:szCs w:val="20"/>
              </w:rPr>
              <w:t>into</w:t>
            </w:r>
            <w:r w:rsidRPr="00B772C2">
              <w:rPr>
                <w:sz w:val="20"/>
                <w:szCs w:val="20"/>
              </w:rPr>
              <w:t xml:space="preserve"> </w:t>
            </w:r>
            <w:r w:rsidR="00656E56">
              <w:rPr>
                <w:sz w:val="20"/>
                <w:szCs w:val="20"/>
              </w:rPr>
              <w:t>SI</w:t>
            </w:r>
            <w:r w:rsidR="00CC4F81">
              <w:rPr>
                <w:sz w:val="20"/>
                <w:szCs w:val="20"/>
              </w:rPr>
              <w:t xml:space="preserve"> tissue</w:t>
            </w:r>
          </w:p>
        </w:tc>
        <w:tc>
          <w:tcPr>
            <w:tcW w:w="1260" w:type="dxa"/>
          </w:tcPr>
          <w:p w14:paraId="36459AB7" w14:textId="77777777" w:rsidR="00431F55" w:rsidRPr="00B772C2" w:rsidRDefault="00431F55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mg/kg-day</w:t>
            </w:r>
          </w:p>
        </w:tc>
        <w:tc>
          <w:tcPr>
            <w:tcW w:w="7200" w:type="dxa"/>
          </w:tcPr>
          <w:p w14:paraId="201D8C8F" w14:textId="02851572" w:rsidR="00656E56" w:rsidRPr="00B772C2" w:rsidRDefault="00656E56" w:rsidP="00656E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Stomach lumen pH (phs: 12.9</w:t>
            </w:r>
            <w:r w:rsidRPr="00B772C2">
              <w:rPr>
                <w:sz w:val="20"/>
                <w:szCs w:val="20"/>
              </w:rPr>
              <w:t>%)</w:t>
            </w:r>
          </w:p>
          <w:p w14:paraId="274D20CB" w14:textId="2BCD7FEE" w:rsidR="00787D90" w:rsidRPr="00B772C2" w:rsidRDefault="00656E56" w:rsidP="00B77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Duodenum lumen pH (phd: </w:t>
            </w:r>
            <w:r w:rsidR="00787D90" w:rsidRPr="00B772C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787D90" w:rsidRPr="00B772C2">
              <w:rPr>
                <w:sz w:val="20"/>
                <w:szCs w:val="20"/>
              </w:rPr>
              <w:t>.2%)</w:t>
            </w:r>
          </w:p>
          <w:p w14:paraId="10DA6D97" w14:textId="0AC54E26" w:rsidR="00787D90" w:rsidRPr="00B772C2" w:rsidRDefault="00787D90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S</w:t>
            </w:r>
            <w:r w:rsidR="00656E56">
              <w:rPr>
                <w:sz w:val="20"/>
                <w:szCs w:val="20"/>
              </w:rPr>
              <w:t>tomach lumen transit (klsd: 10.6</w:t>
            </w:r>
            <w:r w:rsidRPr="00B772C2">
              <w:rPr>
                <w:sz w:val="20"/>
                <w:szCs w:val="20"/>
              </w:rPr>
              <w:t>%)</w:t>
            </w:r>
          </w:p>
          <w:p w14:paraId="26AB0589" w14:textId="7E867C57" w:rsidR="00787D90" w:rsidRPr="00B772C2" w:rsidRDefault="00B772C2" w:rsidP="00B77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Lumen</w:t>
            </w:r>
            <w:r w:rsidR="00656E56">
              <w:rPr>
                <w:sz w:val="20"/>
                <w:szCs w:val="20"/>
              </w:rPr>
              <w:t xml:space="preserve"> reducing equivalents (cre0: 8.1</w:t>
            </w:r>
            <w:r w:rsidR="00787D90" w:rsidRPr="00B772C2">
              <w:rPr>
                <w:sz w:val="20"/>
                <w:szCs w:val="20"/>
              </w:rPr>
              <w:t>%)</w:t>
            </w:r>
          </w:p>
          <w:p w14:paraId="0A001DC8" w14:textId="77777777" w:rsidR="00787D90" w:rsidRPr="00B772C2" w:rsidRDefault="00787D90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Lumen reduction rate (kredgifc: 7.5%)</w:t>
            </w:r>
          </w:p>
          <w:p w14:paraId="085D142A" w14:textId="766B45AD" w:rsidR="00656E56" w:rsidRDefault="00656E56" w:rsidP="00B77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Jejunum lumen pH (6.3%)</w:t>
            </w:r>
          </w:p>
          <w:p w14:paraId="271920F1" w14:textId="1AFBEB0B" w:rsidR="00656E56" w:rsidRDefault="00656E56" w:rsidP="00656E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stomach lumen (</w:t>
            </w:r>
            <w:r w:rsidRPr="00B772C2">
              <w:rPr>
                <w:sz w:val="20"/>
                <w:szCs w:val="20"/>
              </w:rPr>
              <w:t>vslc</w:t>
            </w:r>
            <w:r>
              <w:rPr>
                <w:sz w:val="20"/>
                <w:szCs w:val="20"/>
              </w:rPr>
              <w:t>: 4.8</w:t>
            </w:r>
            <w:r w:rsidRPr="00B772C2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27B0B770" w14:textId="641119C9" w:rsidR="00B772C2" w:rsidRPr="00B772C2" w:rsidRDefault="00656E56" w:rsidP="00B77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absorption rate (k</w:t>
            </w:r>
            <w:r w:rsidRPr="00B772C2">
              <w:rPr>
                <w:sz w:val="20"/>
                <w:szCs w:val="20"/>
              </w:rPr>
              <w:t>abs6</w:t>
            </w:r>
            <w:r>
              <w:rPr>
                <w:sz w:val="20"/>
                <w:szCs w:val="20"/>
              </w:rPr>
              <w:t>: 4.4</w:t>
            </w:r>
            <w:r w:rsidRPr="00B772C2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</w:tc>
      </w:tr>
      <w:tr w:rsidR="00B772C2" w:rsidRPr="00B772C2" w14:paraId="1EB7AF65" w14:textId="77777777" w:rsidTr="00B772C2">
        <w:tc>
          <w:tcPr>
            <w:tcW w:w="3618" w:type="dxa"/>
          </w:tcPr>
          <w:p w14:paraId="207A888F" w14:textId="77777777" w:rsidR="00B772C2" w:rsidRPr="00B772C2" w:rsidRDefault="00B772C2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Fraction absorbed</w:t>
            </w:r>
          </w:p>
        </w:tc>
        <w:tc>
          <w:tcPr>
            <w:tcW w:w="1260" w:type="dxa"/>
          </w:tcPr>
          <w:p w14:paraId="17D59784" w14:textId="77777777" w:rsidR="00B772C2" w:rsidRPr="00B772C2" w:rsidRDefault="00B772C2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Unitless</w:t>
            </w:r>
          </w:p>
        </w:tc>
        <w:tc>
          <w:tcPr>
            <w:tcW w:w="7200" w:type="dxa"/>
          </w:tcPr>
          <w:p w14:paraId="782253F4" w14:textId="1154D5A6" w:rsidR="0019619E" w:rsidRDefault="0019619E" w:rsidP="00196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absorption rate (k</w:t>
            </w:r>
            <w:r w:rsidRPr="0019619E">
              <w:rPr>
                <w:sz w:val="20"/>
                <w:szCs w:val="20"/>
              </w:rPr>
              <w:t>abs3</w:t>
            </w:r>
            <w:r>
              <w:rPr>
                <w:sz w:val="20"/>
                <w:szCs w:val="20"/>
              </w:rPr>
              <w:t xml:space="preserve">: </w:t>
            </w:r>
            <w:r w:rsidR="00E60EE4">
              <w:rPr>
                <w:sz w:val="20"/>
                <w:szCs w:val="20"/>
              </w:rPr>
              <w:t>3.8</w:t>
            </w:r>
            <w:r w:rsidRPr="0019619E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7E94EEC8" w14:textId="329978AD" w:rsidR="00E60EE4" w:rsidRDefault="00E60EE4" w:rsidP="00196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Stomach lumen pH (phs: 3.1%)</w:t>
            </w:r>
          </w:p>
          <w:p w14:paraId="7F992A0C" w14:textId="77777777" w:rsidR="00E60EE4" w:rsidRPr="0019619E" w:rsidRDefault="00E60EE4" w:rsidP="00E60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Length duodenum (</w:t>
            </w:r>
            <w:r w:rsidRPr="0019619E">
              <w:rPr>
                <w:sz w:val="20"/>
                <w:szCs w:val="20"/>
              </w:rPr>
              <w:t>ld</w:t>
            </w:r>
            <w:r>
              <w:rPr>
                <w:sz w:val="20"/>
                <w:szCs w:val="20"/>
              </w:rPr>
              <w:t xml:space="preserve">: </w:t>
            </w:r>
            <w:r w:rsidRPr="0019619E">
              <w:rPr>
                <w:sz w:val="20"/>
                <w:szCs w:val="20"/>
              </w:rPr>
              <w:t>3.0%</w:t>
            </w:r>
            <w:r>
              <w:rPr>
                <w:sz w:val="20"/>
                <w:szCs w:val="20"/>
              </w:rPr>
              <w:t>)</w:t>
            </w:r>
          </w:p>
          <w:p w14:paraId="44B74ECD" w14:textId="62EE068F" w:rsidR="00E60EE4" w:rsidRDefault="00E60EE4" w:rsidP="00196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Duodenum lumen pH (phd: 3.0%)</w:t>
            </w:r>
          </w:p>
          <w:p w14:paraId="607E7809" w14:textId="751ABEB3" w:rsidR="00E60EE4" w:rsidRDefault="00E60EE4" w:rsidP="00196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Stomach lumen transit (2.6%)</w:t>
            </w:r>
          </w:p>
          <w:p w14:paraId="71933D8C" w14:textId="77777777" w:rsidR="00E60EE4" w:rsidRPr="0019619E" w:rsidRDefault="00E60EE4" w:rsidP="00E60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duodenum lumen (</w:t>
            </w:r>
            <w:r w:rsidRPr="0019619E">
              <w:rPr>
                <w:sz w:val="20"/>
                <w:szCs w:val="20"/>
              </w:rPr>
              <w:t>vdlc</w:t>
            </w:r>
            <w:r>
              <w:rPr>
                <w:sz w:val="20"/>
                <w:szCs w:val="20"/>
              </w:rPr>
              <w:t xml:space="preserve">: </w:t>
            </w:r>
            <w:r w:rsidRPr="0019619E">
              <w:rPr>
                <w:sz w:val="20"/>
                <w:szCs w:val="20"/>
              </w:rPr>
              <w:t>2.6%</w:t>
            </w:r>
            <w:r>
              <w:rPr>
                <w:sz w:val="20"/>
                <w:szCs w:val="20"/>
              </w:rPr>
              <w:t>)</w:t>
            </w:r>
          </w:p>
          <w:p w14:paraId="31EF1229" w14:textId="79B50F58" w:rsidR="00E60EE4" w:rsidRDefault="00163266" w:rsidP="00196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Relative absorption duodenum (rad3: 2.3%)</w:t>
            </w:r>
          </w:p>
          <w:p w14:paraId="07D8AED4" w14:textId="375A26CA" w:rsidR="00B772C2" w:rsidRPr="00B772C2" w:rsidRDefault="00163266" w:rsidP="00196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Duodenum lumen transit (</w:t>
            </w:r>
            <w:r w:rsidRPr="0019619E">
              <w:rPr>
                <w:sz w:val="20"/>
                <w:szCs w:val="20"/>
              </w:rPr>
              <w:t>kldj</w:t>
            </w:r>
            <w:r>
              <w:rPr>
                <w:sz w:val="20"/>
                <w:szCs w:val="20"/>
              </w:rPr>
              <w:t xml:space="preserve">: </w:t>
            </w:r>
            <w:r w:rsidRPr="0019619E">
              <w:rPr>
                <w:sz w:val="20"/>
                <w:szCs w:val="20"/>
              </w:rPr>
              <w:t>2.7%</w:t>
            </w:r>
            <w:r>
              <w:rPr>
                <w:sz w:val="20"/>
                <w:szCs w:val="20"/>
              </w:rPr>
              <w:t>)</w:t>
            </w:r>
          </w:p>
        </w:tc>
      </w:tr>
      <w:tr w:rsidR="00B772C2" w:rsidRPr="00B772C2" w14:paraId="53D68276" w14:textId="77777777" w:rsidTr="00B772C2">
        <w:tc>
          <w:tcPr>
            <w:tcW w:w="3618" w:type="dxa"/>
          </w:tcPr>
          <w:p w14:paraId="07D067E6" w14:textId="6ECFD42C" w:rsidR="00B772C2" w:rsidRPr="00B772C2" w:rsidRDefault="00B772C2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Liver:Kidney tissue concentration ratio</w:t>
            </w:r>
          </w:p>
        </w:tc>
        <w:tc>
          <w:tcPr>
            <w:tcW w:w="1260" w:type="dxa"/>
          </w:tcPr>
          <w:p w14:paraId="612E8A7D" w14:textId="77777777" w:rsidR="00B772C2" w:rsidRPr="00B772C2" w:rsidRDefault="00B772C2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Unitless</w:t>
            </w:r>
          </w:p>
        </w:tc>
        <w:tc>
          <w:tcPr>
            <w:tcW w:w="7200" w:type="dxa"/>
          </w:tcPr>
          <w:p w14:paraId="5183D67E" w14:textId="77777777" w:rsidR="00B42F48" w:rsidRPr="00B42F48" w:rsidRDefault="00B42F48" w:rsidP="00B42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Urinary excretion (</w:t>
            </w:r>
            <w:r w:rsidRPr="00B42F48">
              <w:rPr>
                <w:sz w:val="20"/>
                <w:szCs w:val="20"/>
              </w:rPr>
              <w:t>kurcc</w:t>
            </w:r>
            <w:r>
              <w:rPr>
                <w:sz w:val="20"/>
                <w:szCs w:val="20"/>
              </w:rPr>
              <w:t>:</w:t>
            </w:r>
            <w:r w:rsidRPr="00B42F48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  <w:r w:rsidRPr="00B42F48">
              <w:rPr>
                <w:sz w:val="20"/>
                <w:szCs w:val="20"/>
              </w:rPr>
              <w:t>5.0%</w:t>
            </w:r>
            <w:r>
              <w:rPr>
                <w:sz w:val="20"/>
                <w:szCs w:val="20"/>
              </w:rPr>
              <w:t>)</w:t>
            </w:r>
          </w:p>
          <w:p w14:paraId="188EE3A2" w14:textId="2A583874" w:rsidR="00163266" w:rsidRDefault="00163266" w:rsidP="00B42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Scaling factor, systemic tissue to plasma (SFout: 4.9%)</w:t>
            </w:r>
          </w:p>
          <w:p w14:paraId="6EA7650F" w14:textId="0290A4DF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Cardiac output (</w:t>
            </w:r>
            <w:r w:rsidRPr="00B42F48">
              <w:rPr>
                <w:sz w:val="20"/>
                <w:szCs w:val="20"/>
              </w:rPr>
              <w:t>qcc</w:t>
            </w:r>
            <w:r>
              <w:rPr>
                <w:sz w:val="20"/>
                <w:szCs w:val="20"/>
              </w:rPr>
              <w:t>: 4.4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7AD6E425" w14:textId="635505ED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Hematocrit (</w:t>
            </w:r>
            <w:r w:rsidRPr="00B42F48">
              <w:rPr>
                <w:sz w:val="20"/>
                <w:szCs w:val="20"/>
              </w:rPr>
              <w:t>hct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ab/>
              <w:t>4.2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52C36F31" w14:textId="7A980D39" w:rsidR="00163266" w:rsidRDefault="00163266" w:rsidP="00B42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Scaling factor, plasma to systemic tissue (SFin: 3.9%)</w:t>
            </w:r>
          </w:p>
          <w:p w14:paraId="3CBF85EF" w14:textId="18B35557" w:rsidR="00163266" w:rsidRDefault="00163266" w:rsidP="00B42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Kidney blood flow (</w:t>
            </w:r>
            <w:r w:rsidRPr="00B42F48">
              <w:rPr>
                <w:sz w:val="20"/>
                <w:szCs w:val="20"/>
              </w:rPr>
              <w:t>qkc</w:t>
            </w:r>
            <w:r>
              <w:rPr>
                <w:sz w:val="20"/>
                <w:szCs w:val="20"/>
              </w:rPr>
              <w:t>: 3.6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70C7951F" w14:textId="7791FD91" w:rsidR="00163266" w:rsidRDefault="00163266" w:rsidP="00B42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plasma to kidney (</w:t>
            </w:r>
            <w:r w:rsidRPr="00B42F48">
              <w:rPr>
                <w:sz w:val="20"/>
                <w:szCs w:val="20"/>
              </w:rPr>
              <w:t>kintcrk</w:t>
            </w:r>
            <w:r>
              <w:rPr>
                <w:sz w:val="20"/>
                <w:szCs w:val="20"/>
              </w:rPr>
              <w:t>: 3.3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57A0EDFA" w14:textId="6F8898BC" w:rsidR="00B772C2" w:rsidRPr="00B772C2" w:rsidRDefault="00163266" w:rsidP="00B42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Stomach lumen pH (phs: 2.2%)</w:t>
            </w:r>
          </w:p>
        </w:tc>
      </w:tr>
      <w:tr w:rsidR="00B772C2" w:rsidRPr="00B772C2" w14:paraId="467BF9EB" w14:textId="77777777" w:rsidTr="00B772C2">
        <w:tc>
          <w:tcPr>
            <w:tcW w:w="3618" w:type="dxa"/>
          </w:tcPr>
          <w:p w14:paraId="6757BF42" w14:textId="0129B1B9" w:rsidR="00B772C2" w:rsidRPr="00B772C2" w:rsidRDefault="00B76874" w:rsidP="00B77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Erythrocyte</w:t>
            </w:r>
            <w:r w:rsidR="00B772C2" w:rsidRPr="00B772C2">
              <w:rPr>
                <w:sz w:val="20"/>
                <w:szCs w:val="20"/>
              </w:rPr>
              <w:t>:Plasma concentration ratio</w:t>
            </w:r>
          </w:p>
        </w:tc>
        <w:tc>
          <w:tcPr>
            <w:tcW w:w="1260" w:type="dxa"/>
          </w:tcPr>
          <w:p w14:paraId="2C513160" w14:textId="77777777" w:rsidR="00B772C2" w:rsidRPr="00B772C2" w:rsidRDefault="00B772C2" w:rsidP="00B772C2">
            <w:pPr>
              <w:rPr>
                <w:sz w:val="20"/>
                <w:szCs w:val="20"/>
              </w:rPr>
            </w:pPr>
            <w:r w:rsidRPr="00B772C2">
              <w:rPr>
                <w:sz w:val="20"/>
                <w:szCs w:val="20"/>
              </w:rPr>
              <w:t>Unitless</w:t>
            </w:r>
          </w:p>
        </w:tc>
        <w:tc>
          <w:tcPr>
            <w:tcW w:w="7200" w:type="dxa"/>
          </w:tcPr>
          <w:p w14:paraId="2D183E4A" w14:textId="0CDF9033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Stomach lumen pH (</w:t>
            </w:r>
            <w:r w:rsidRPr="00B42F48">
              <w:rPr>
                <w:sz w:val="20"/>
                <w:szCs w:val="20"/>
              </w:rPr>
              <w:t>phs</w:t>
            </w:r>
            <w:r>
              <w:rPr>
                <w:sz w:val="20"/>
                <w:szCs w:val="20"/>
              </w:rPr>
              <w:t>: 8.4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0D4DD793" w14:textId="745A46B7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Duodenum lumen pH (</w:t>
            </w:r>
            <w:r w:rsidRPr="00B42F48">
              <w:rPr>
                <w:sz w:val="20"/>
                <w:szCs w:val="20"/>
              </w:rPr>
              <w:t>phd</w:t>
            </w:r>
            <w:r>
              <w:rPr>
                <w:sz w:val="20"/>
                <w:szCs w:val="20"/>
              </w:rPr>
              <w:t>: 7.9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2FA768C7" w14:textId="65175EC7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Stomach lumen transit (</w:t>
            </w:r>
            <w:r w:rsidRPr="00B42F48">
              <w:rPr>
                <w:sz w:val="20"/>
                <w:szCs w:val="20"/>
              </w:rPr>
              <w:t>klsd</w:t>
            </w:r>
            <w:r>
              <w:rPr>
                <w:sz w:val="20"/>
                <w:szCs w:val="20"/>
              </w:rPr>
              <w:t>: 6.8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13A4F3D3" w14:textId="10A2E8C2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erythrocyte to plasma (</w:t>
            </w:r>
            <w:r w:rsidRPr="00B42F48">
              <w:rPr>
                <w:sz w:val="20"/>
                <w:szCs w:val="20"/>
              </w:rPr>
              <w:t>krbcout3</w:t>
            </w:r>
            <w:r>
              <w:rPr>
                <w:sz w:val="20"/>
                <w:szCs w:val="20"/>
              </w:rPr>
              <w:t>: 4.4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18818A30" w14:textId="3DD01A0C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Lumen reducing equivalents (</w:t>
            </w:r>
            <w:r w:rsidRPr="00B42F48">
              <w:rPr>
                <w:sz w:val="20"/>
                <w:szCs w:val="20"/>
              </w:rPr>
              <w:t>cre0</w:t>
            </w:r>
            <w:r>
              <w:rPr>
                <w:sz w:val="20"/>
                <w:szCs w:val="20"/>
              </w:rPr>
              <w:t>: 4.1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2EB801A8" w14:textId="609FD022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Kidney blood flow (</w:t>
            </w:r>
            <w:r w:rsidRPr="00B42F48">
              <w:rPr>
                <w:sz w:val="20"/>
                <w:szCs w:val="20"/>
              </w:rPr>
              <w:t>qkc</w:t>
            </w:r>
            <w:r>
              <w:rPr>
                <w:sz w:val="20"/>
                <w:szCs w:val="20"/>
              </w:rPr>
              <w:t>: 4.0</w:t>
            </w:r>
            <w:r w:rsidRPr="00B42F48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)</w:t>
            </w:r>
          </w:p>
          <w:p w14:paraId="28217A59" w14:textId="1514AF0A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Lumen reduction rate (</w:t>
            </w:r>
            <w:r w:rsidRPr="00B42F48">
              <w:rPr>
                <w:sz w:val="20"/>
                <w:szCs w:val="20"/>
              </w:rPr>
              <w:t>kredgifc</w:t>
            </w:r>
            <w:r>
              <w:rPr>
                <w:sz w:val="20"/>
                <w:szCs w:val="20"/>
              </w:rPr>
              <w:t>: 3</w:t>
            </w:r>
            <w:r w:rsidRPr="00B42F48">
              <w:rPr>
                <w:sz w:val="20"/>
                <w:szCs w:val="20"/>
              </w:rPr>
              <w:t>.7%</w:t>
            </w:r>
            <w:r>
              <w:rPr>
                <w:sz w:val="20"/>
                <w:szCs w:val="20"/>
              </w:rPr>
              <w:t>)</w:t>
            </w:r>
          </w:p>
          <w:p w14:paraId="70C5949D" w14:textId="3720C80C" w:rsidR="00163266" w:rsidRPr="00B42F48" w:rsidRDefault="00163266" w:rsidP="00163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 plasma to erythrocyte (</w:t>
            </w:r>
            <w:r w:rsidRPr="00B42F48">
              <w:rPr>
                <w:sz w:val="20"/>
                <w:szCs w:val="20"/>
              </w:rPr>
              <w:t>krbcin3</w:t>
            </w:r>
            <w:r>
              <w:rPr>
                <w:sz w:val="20"/>
                <w:szCs w:val="20"/>
              </w:rPr>
              <w:t>: 2</w:t>
            </w:r>
            <w:r w:rsidRPr="00B42F48">
              <w:rPr>
                <w:sz w:val="20"/>
                <w:szCs w:val="20"/>
              </w:rPr>
              <w:t>.8%</w:t>
            </w:r>
            <w:r>
              <w:rPr>
                <w:sz w:val="20"/>
                <w:szCs w:val="20"/>
              </w:rPr>
              <w:t>)</w:t>
            </w:r>
          </w:p>
          <w:p w14:paraId="00B1F7CC" w14:textId="55047190" w:rsidR="00B772C2" w:rsidRPr="00B772C2" w:rsidRDefault="00163266" w:rsidP="00B42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stomach lumen (vslc: 2.6%)</w:t>
            </w:r>
          </w:p>
        </w:tc>
      </w:tr>
    </w:tbl>
    <w:p w14:paraId="1D2F832D" w14:textId="289820BD" w:rsidR="00E46E35" w:rsidRPr="00B772C2" w:rsidRDefault="00787D90" w:rsidP="00786696">
      <w:pPr>
        <w:spacing w:line="360" w:lineRule="auto"/>
        <w:rPr>
          <w:sz w:val="20"/>
          <w:szCs w:val="20"/>
        </w:rPr>
      </w:pPr>
      <w:r w:rsidRPr="00B772C2">
        <w:rPr>
          <w:sz w:val="20"/>
          <w:szCs w:val="20"/>
        </w:rPr>
        <w:t>*</w:t>
      </w:r>
      <w:r w:rsidR="00B94FDA">
        <w:rPr>
          <w:sz w:val="20"/>
          <w:szCs w:val="20"/>
        </w:rPr>
        <w:t>Sensitivity measured by reporting the p</w:t>
      </w:r>
      <w:r w:rsidR="00990748">
        <w:rPr>
          <w:sz w:val="20"/>
          <w:szCs w:val="20"/>
        </w:rPr>
        <w:t xml:space="preserve">ercent </w:t>
      </w:r>
      <w:r w:rsidRPr="00B772C2">
        <w:rPr>
          <w:sz w:val="20"/>
          <w:szCs w:val="20"/>
        </w:rPr>
        <w:t xml:space="preserve">change in </w:t>
      </w:r>
      <w:r w:rsidR="00990748">
        <w:rPr>
          <w:sz w:val="20"/>
          <w:szCs w:val="20"/>
        </w:rPr>
        <w:t xml:space="preserve">the </w:t>
      </w:r>
      <w:r w:rsidRPr="00B772C2">
        <w:rPr>
          <w:sz w:val="20"/>
          <w:szCs w:val="20"/>
        </w:rPr>
        <w:t>dose measure</w:t>
      </w:r>
      <w:r w:rsidR="00B222FB">
        <w:rPr>
          <w:sz w:val="20"/>
          <w:szCs w:val="20"/>
        </w:rPr>
        <w:t xml:space="preserve"> </w:t>
      </w:r>
      <w:r w:rsidR="00990748">
        <w:rPr>
          <w:sz w:val="20"/>
          <w:szCs w:val="20"/>
        </w:rPr>
        <w:t xml:space="preserve">value </w:t>
      </w:r>
      <w:r w:rsidRPr="00B772C2">
        <w:rPr>
          <w:sz w:val="20"/>
          <w:szCs w:val="20"/>
        </w:rPr>
        <w:t xml:space="preserve">when </w:t>
      </w:r>
      <w:r w:rsidR="00990748">
        <w:rPr>
          <w:sz w:val="20"/>
          <w:szCs w:val="20"/>
        </w:rPr>
        <w:t xml:space="preserve">the model </w:t>
      </w:r>
      <w:r w:rsidRPr="00B772C2">
        <w:rPr>
          <w:sz w:val="20"/>
          <w:szCs w:val="20"/>
        </w:rPr>
        <w:t>par</w:t>
      </w:r>
      <w:r w:rsidR="00B772C2" w:rsidRPr="00B772C2">
        <w:rPr>
          <w:sz w:val="20"/>
          <w:szCs w:val="20"/>
        </w:rPr>
        <w:t>ameter value is increased by 5%</w:t>
      </w:r>
      <w:r w:rsidR="00163266">
        <w:rPr>
          <w:sz w:val="20"/>
          <w:szCs w:val="20"/>
        </w:rPr>
        <w:t xml:space="preserve">. (for example, in the first line a 5% change in phs results in a 12.8% change in predicted Cr(VI) flux).  The top eight parameters are presented for each internal dose.  </w:t>
      </w:r>
      <w:r w:rsidR="00990748">
        <w:rPr>
          <w:sz w:val="20"/>
          <w:szCs w:val="20"/>
        </w:rPr>
        <w:t>Simulations for the sensitivity analysis were for 0.1 mg Cr(VI)/kg-day, assuming the dose is spread over 5 exposure events per day.</w:t>
      </w:r>
      <w:r w:rsidR="00B94FDA">
        <w:rPr>
          <w:sz w:val="20"/>
          <w:szCs w:val="20"/>
        </w:rPr>
        <w:t xml:space="preserve">  </w:t>
      </w:r>
    </w:p>
    <w:p w14:paraId="705A5F98" w14:textId="0066F9CB" w:rsidR="00873C6E" w:rsidRPr="007564D0" w:rsidRDefault="00873C6E" w:rsidP="00C4375D">
      <w:pPr>
        <w:spacing w:line="360" w:lineRule="auto"/>
        <w:rPr>
          <w:sz w:val="20"/>
          <w:szCs w:val="20"/>
        </w:rPr>
      </w:pPr>
    </w:p>
    <w:sectPr w:rsidR="00873C6E" w:rsidRPr="007564D0" w:rsidSect="00CB2F3E"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6FB87" w14:textId="77777777" w:rsidR="00397035" w:rsidRDefault="00397035" w:rsidP="00420670">
      <w:r>
        <w:separator/>
      </w:r>
    </w:p>
  </w:endnote>
  <w:endnote w:type="continuationSeparator" w:id="0">
    <w:p w14:paraId="35C7B0BC" w14:textId="77777777" w:rsidR="00397035" w:rsidRDefault="00397035" w:rsidP="0042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AA56F" w14:textId="77777777" w:rsidR="00397035" w:rsidRDefault="00397035" w:rsidP="0042067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29946D" w14:textId="77777777" w:rsidR="00397035" w:rsidRDefault="0039703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CE36E" w14:textId="77777777" w:rsidR="00397035" w:rsidRDefault="00397035" w:rsidP="0042067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4857">
      <w:rPr>
        <w:rStyle w:val="PageNumber"/>
        <w:noProof/>
      </w:rPr>
      <w:t>1</w:t>
    </w:r>
    <w:r>
      <w:rPr>
        <w:rStyle w:val="PageNumber"/>
      </w:rPr>
      <w:fldChar w:fldCharType="end"/>
    </w:r>
  </w:p>
  <w:p w14:paraId="2B5DC1B6" w14:textId="77777777" w:rsidR="00397035" w:rsidRDefault="0039703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6BAD3" w14:textId="77777777" w:rsidR="00397035" w:rsidRDefault="00397035" w:rsidP="00420670">
      <w:r>
        <w:separator/>
      </w:r>
    </w:p>
  </w:footnote>
  <w:footnote w:type="continuationSeparator" w:id="0">
    <w:p w14:paraId="6FA96A06" w14:textId="77777777" w:rsidR="00397035" w:rsidRDefault="00397035" w:rsidP="004206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7753A" w14:textId="7C03D79F" w:rsidR="00064857" w:rsidRPr="00064857" w:rsidRDefault="00064857" w:rsidP="00064857">
    <w:pPr>
      <w:pStyle w:val="Header"/>
      <w:jc w:val="center"/>
      <w:rPr>
        <w:i/>
      </w:rPr>
    </w:pPr>
    <w:r w:rsidRPr="00064857">
      <w:rPr>
        <w:i/>
      </w:rPr>
      <w:t>DRAFT UNDERGOING PEER REVIEW – DO NOT CITE OR QUOTE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5CE"/>
    <w:multiLevelType w:val="hybridMultilevel"/>
    <w:tmpl w:val="FBA8E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17051"/>
    <w:multiLevelType w:val="hybridMultilevel"/>
    <w:tmpl w:val="4254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52C92"/>
    <w:multiLevelType w:val="hybridMultilevel"/>
    <w:tmpl w:val="11D475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F43EF"/>
    <w:multiLevelType w:val="hybridMultilevel"/>
    <w:tmpl w:val="A16C5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567F4"/>
    <w:multiLevelType w:val="hybridMultilevel"/>
    <w:tmpl w:val="993C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B00B1"/>
    <w:multiLevelType w:val="hybridMultilevel"/>
    <w:tmpl w:val="52F61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B1178"/>
    <w:multiLevelType w:val="hybridMultilevel"/>
    <w:tmpl w:val="A3185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4540D"/>
    <w:multiLevelType w:val="hybridMultilevel"/>
    <w:tmpl w:val="63148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A7AF1"/>
    <w:multiLevelType w:val="hybridMultilevel"/>
    <w:tmpl w:val="858A6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06A2F"/>
    <w:multiLevelType w:val="hybridMultilevel"/>
    <w:tmpl w:val="08725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373B20"/>
    <w:multiLevelType w:val="hybridMultilevel"/>
    <w:tmpl w:val="0868E5D8"/>
    <w:lvl w:ilvl="0" w:tplc="5F70C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0B"/>
    <w:rsid w:val="00001147"/>
    <w:rsid w:val="00002A18"/>
    <w:rsid w:val="00004809"/>
    <w:rsid w:val="00004DF6"/>
    <w:rsid w:val="00005B5F"/>
    <w:rsid w:val="000060D7"/>
    <w:rsid w:val="00006168"/>
    <w:rsid w:val="00006D22"/>
    <w:rsid w:val="00007CCD"/>
    <w:rsid w:val="000114C1"/>
    <w:rsid w:val="00012E25"/>
    <w:rsid w:val="00014F7A"/>
    <w:rsid w:val="000152F7"/>
    <w:rsid w:val="000153CC"/>
    <w:rsid w:val="00017ED7"/>
    <w:rsid w:val="000202D0"/>
    <w:rsid w:val="000207CA"/>
    <w:rsid w:val="00022005"/>
    <w:rsid w:val="0002211D"/>
    <w:rsid w:val="00022EBD"/>
    <w:rsid w:val="00023A59"/>
    <w:rsid w:val="0002719F"/>
    <w:rsid w:val="00032068"/>
    <w:rsid w:val="00034005"/>
    <w:rsid w:val="00036D90"/>
    <w:rsid w:val="00037466"/>
    <w:rsid w:val="000410B7"/>
    <w:rsid w:val="00042339"/>
    <w:rsid w:val="000464A1"/>
    <w:rsid w:val="000468A8"/>
    <w:rsid w:val="00046B64"/>
    <w:rsid w:val="00047053"/>
    <w:rsid w:val="000475C6"/>
    <w:rsid w:val="00047C55"/>
    <w:rsid w:val="000512E5"/>
    <w:rsid w:val="00051676"/>
    <w:rsid w:val="00051AD1"/>
    <w:rsid w:val="00054F2B"/>
    <w:rsid w:val="00055300"/>
    <w:rsid w:val="00056635"/>
    <w:rsid w:val="00056790"/>
    <w:rsid w:val="00057180"/>
    <w:rsid w:val="000602C4"/>
    <w:rsid w:val="00060BC0"/>
    <w:rsid w:val="00062C20"/>
    <w:rsid w:val="000646D2"/>
    <w:rsid w:val="00064857"/>
    <w:rsid w:val="0006494E"/>
    <w:rsid w:val="00064F57"/>
    <w:rsid w:val="00065CFA"/>
    <w:rsid w:val="00071D8A"/>
    <w:rsid w:val="000726D0"/>
    <w:rsid w:val="000738BB"/>
    <w:rsid w:val="00074344"/>
    <w:rsid w:val="00074E98"/>
    <w:rsid w:val="0007730A"/>
    <w:rsid w:val="00080D6B"/>
    <w:rsid w:val="00082DF8"/>
    <w:rsid w:val="00082EEE"/>
    <w:rsid w:val="00083A49"/>
    <w:rsid w:val="00083CCB"/>
    <w:rsid w:val="00084597"/>
    <w:rsid w:val="00084C33"/>
    <w:rsid w:val="00085DB8"/>
    <w:rsid w:val="0009108B"/>
    <w:rsid w:val="00091445"/>
    <w:rsid w:val="000920CD"/>
    <w:rsid w:val="00094F4C"/>
    <w:rsid w:val="00095CD8"/>
    <w:rsid w:val="000A07E1"/>
    <w:rsid w:val="000A0E6C"/>
    <w:rsid w:val="000A2155"/>
    <w:rsid w:val="000A4672"/>
    <w:rsid w:val="000A670B"/>
    <w:rsid w:val="000B019D"/>
    <w:rsid w:val="000B265C"/>
    <w:rsid w:val="000B3AE4"/>
    <w:rsid w:val="000B498D"/>
    <w:rsid w:val="000B6524"/>
    <w:rsid w:val="000B6B88"/>
    <w:rsid w:val="000C002F"/>
    <w:rsid w:val="000C0C42"/>
    <w:rsid w:val="000C0ECC"/>
    <w:rsid w:val="000C4251"/>
    <w:rsid w:val="000C42BA"/>
    <w:rsid w:val="000C65EB"/>
    <w:rsid w:val="000C7092"/>
    <w:rsid w:val="000D106C"/>
    <w:rsid w:val="000D3078"/>
    <w:rsid w:val="000D4406"/>
    <w:rsid w:val="000D5290"/>
    <w:rsid w:val="000D5AD3"/>
    <w:rsid w:val="000D6829"/>
    <w:rsid w:val="000D6CB2"/>
    <w:rsid w:val="000D6D3E"/>
    <w:rsid w:val="000E32AB"/>
    <w:rsid w:val="000E38EA"/>
    <w:rsid w:val="000E531E"/>
    <w:rsid w:val="000E7604"/>
    <w:rsid w:val="000F1C4E"/>
    <w:rsid w:val="000F3027"/>
    <w:rsid w:val="000F32DF"/>
    <w:rsid w:val="000F4655"/>
    <w:rsid w:val="000F4AC3"/>
    <w:rsid w:val="000F651A"/>
    <w:rsid w:val="000F677C"/>
    <w:rsid w:val="000F6908"/>
    <w:rsid w:val="000F7ADE"/>
    <w:rsid w:val="00101C5C"/>
    <w:rsid w:val="001025F5"/>
    <w:rsid w:val="0010287A"/>
    <w:rsid w:val="00103572"/>
    <w:rsid w:val="001112FD"/>
    <w:rsid w:val="001117AC"/>
    <w:rsid w:val="00111FA7"/>
    <w:rsid w:val="0011351D"/>
    <w:rsid w:val="0011371E"/>
    <w:rsid w:val="001141B6"/>
    <w:rsid w:val="00116294"/>
    <w:rsid w:val="001168CB"/>
    <w:rsid w:val="00117D67"/>
    <w:rsid w:val="0012227F"/>
    <w:rsid w:val="00124840"/>
    <w:rsid w:val="001251D0"/>
    <w:rsid w:val="0012577E"/>
    <w:rsid w:val="0012604E"/>
    <w:rsid w:val="0012692B"/>
    <w:rsid w:val="00130BE2"/>
    <w:rsid w:val="00130D93"/>
    <w:rsid w:val="001364A7"/>
    <w:rsid w:val="00136CA0"/>
    <w:rsid w:val="0014292A"/>
    <w:rsid w:val="00143FA1"/>
    <w:rsid w:val="00144416"/>
    <w:rsid w:val="00144925"/>
    <w:rsid w:val="00146771"/>
    <w:rsid w:val="00146A48"/>
    <w:rsid w:val="00146AC6"/>
    <w:rsid w:val="00147ACC"/>
    <w:rsid w:val="00150A4F"/>
    <w:rsid w:val="00153EFD"/>
    <w:rsid w:val="0015444D"/>
    <w:rsid w:val="0016016A"/>
    <w:rsid w:val="00163266"/>
    <w:rsid w:val="001632DF"/>
    <w:rsid w:val="00164C63"/>
    <w:rsid w:val="00171EEA"/>
    <w:rsid w:val="00173682"/>
    <w:rsid w:val="00173D32"/>
    <w:rsid w:val="001741B9"/>
    <w:rsid w:val="00174EAC"/>
    <w:rsid w:val="00176330"/>
    <w:rsid w:val="00176E54"/>
    <w:rsid w:val="00181BAD"/>
    <w:rsid w:val="00182158"/>
    <w:rsid w:val="001841EC"/>
    <w:rsid w:val="00185E7C"/>
    <w:rsid w:val="001867DB"/>
    <w:rsid w:val="00190401"/>
    <w:rsid w:val="00190716"/>
    <w:rsid w:val="001911B5"/>
    <w:rsid w:val="00191B27"/>
    <w:rsid w:val="00192FAD"/>
    <w:rsid w:val="001938D6"/>
    <w:rsid w:val="001945BD"/>
    <w:rsid w:val="001958DC"/>
    <w:rsid w:val="0019619E"/>
    <w:rsid w:val="001A530E"/>
    <w:rsid w:val="001A5746"/>
    <w:rsid w:val="001A744F"/>
    <w:rsid w:val="001B199A"/>
    <w:rsid w:val="001B2F00"/>
    <w:rsid w:val="001B4A3B"/>
    <w:rsid w:val="001B67D7"/>
    <w:rsid w:val="001C0247"/>
    <w:rsid w:val="001C0581"/>
    <w:rsid w:val="001C0926"/>
    <w:rsid w:val="001C0E3D"/>
    <w:rsid w:val="001C208B"/>
    <w:rsid w:val="001C2329"/>
    <w:rsid w:val="001C53C2"/>
    <w:rsid w:val="001C58EA"/>
    <w:rsid w:val="001C6102"/>
    <w:rsid w:val="001D2D19"/>
    <w:rsid w:val="001D2DE5"/>
    <w:rsid w:val="001D4157"/>
    <w:rsid w:val="001D512D"/>
    <w:rsid w:val="001D71C7"/>
    <w:rsid w:val="001D75EF"/>
    <w:rsid w:val="001D7CF7"/>
    <w:rsid w:val="001E15BB"/>
    <w:rsid w:val="001E1D7E"/>
    <w:rsid w:val="001E2392"/>
    <w:rsid w:val="001E35C7"/>
    <w:rsid w:val="001E373A"/>
    <w:rsid w:val="001E48C7"/>
    <w:rsid w:val="001E4CC0"/>
    <w:rsid w:val="001E7E1D"/>
    <w:rsid w:val="001F12DA"/>
    <w:rsid w:val="001F2F20"/>
    <w:rsid w:val="001F67F4"/>
    <w:rsid w:val="001F736F"/>
    <w:rsid w:val="002020BC"/>
    <w:rsid w:val="0020468D"/>
    <w:rsid w:val="002108FF"/>
    <w:rsid w:val="002111E5"/>
    <w:rsid w:val="0021412F"/>
    <w:rsid w:val="002172D2"/>
    <w:rsid w:val="00221A3D"/>
    <w:rsid w:val="00222891"/>
    <w:rsid w:val="002228EC"/>
    <w:rsid w:val="00223B6F"/>
    <w:rsid w:val="00223C7A"/>
    <w:rsid w:val="00224383"/>
    <w:rsid w:val="00224893"/>
    <w:rsid w:val="00227058"/>
    <w:rsid w:val="0023121C"/>
    <w:rsid w:val="00231549"/>
    <w:rsid w:val="002333AC"/>
    <w:rsid w:val="00233432"/>
    <w:rsid w:val="00233835"/>
    <w:rsid w:val="00236272"/>
    <w:rsid w:val="00252649"/>
    <w:rsid w:val="00252DC4"/>
    <w:rsid w:val="0025410C"/>
    <w:rsid w:val="002542CE"/>
    <w:rsid w:val="00256DEB"/>
    <w:rsid w:val="0025755D"/>
    <w:rsid w:val="002578BE"/>
    <w:rsid w:val="00260E85"/>
    <w:rsid w:val="00261444"/>
    <w:rsid w:val="00262AFE"/>
    <w:rsid w:val="00262B8E"/>
    <w:rsid w:val="00264995"/>
    <w:rsid w:val="0026703C"/>
    <w:rsid w:val="00270560"/>
    <w:rsid w:val="002724CA"/>
    <w:rsid w:val="002727F8"/>
    <w:rsid w:val="00276329"/>
    <w:rsid w:val="00281281"/>
    <w:rsid w:val="002835C0"/>
    <w:rsid w:val="00283E49"/>
    <w:rsid w:val="00283FFE"/>
    <w:rsid w:val="00284B46"/>
    <w:rsid w:val="002868F8"/>
    <w:rsid w:val="00286E63"/>
    <w:rsid w:val="002874FA"/>
    <w:rsid w:val="00290A5E"/>
    <w:rsid w:val="0029104C"/>
    <w:rsid w:val="00291263"/>
    <w:rsid w:val="00294987"/>
    <w:rsid w:val="0029577E"/>
    <w:rsid w:val="00296220"/>
    <w:rsid w:val="00296607"/>
    <w:rsid w:val="00296AD9"/>
    <w:rsid w:val="002A05A6"/>
    <w:rsid w:val="002A1F8C"/>
    <w:rsid w:val="002A2245"/>
    <w:rsid w:val="002A2E47"/>
    <w:rsid w:val="002A3562"/>
    <w:rsid w:val="002A381E"/>
    <w:rsid w:val="002A395D"/>
    <w:rsid w:val="002A5707"/>
    <w:rsid w:val="002A6DF6"/>
    <w:rsid w:val="002A79C0"/>
    <w:rsid w:val="002B2082"/>
    <w:rsid w:val="002B254F"/>
    <w:rsid w:val="002B3736"/>
    <w:rsid w:val="002B66DA"/>
    <w:rsid w:val="002B6A45"/>
    <w:rsid w:val="002B79B9"/>
    <w:rsid w:val="002C1B7E"/>
    <w:rsid w:val="002C349D"/>
    <w:rsid w:val="002C43A8"/>
    <w:rsid w:val="002C5028"/>
    <w:rsid w:val="002C7C0B"/>
    <w:rsid w:val="002D096A"/>
    <w:rsid w:val="002D3445"/>
    <w:rsid w:val="002E06C2"/>
    <w:rsid w:val="002E0E2A"/>
    <w:rsid w:val="002E242E"/>
    <w:rsid w:val="002E4645"/>
    <w:rsid w:val="002F1AE8"/>
    <w:rsid w:val="002F4333"/>
    <w:rsid w:val="002F5C8B"/>
    <w:rsid w:val="002F6812"/>
    <w:rsid w:val="0030095C"/>
    <w:rsid w:val="003015BC"/>
    <w:rsid w:val="00301F23"/>
    <w:rsid w:val="0030350B"/>
    <w:rsid w:val="00303604"/>
    <w:rsid w:val="00305ADB"/>
    <w:rsid w:val="00305C9D"/>
    <w:rsid w:val="00307A6B"/>
    <w:rsid w:val="003131B6"/>
    <w:rsid w:val="0031489B"/>
    <w:rsid w:val="0031514C"/>
    <w:rsid w:val="00316047"/>
    <w:rsid w:val="00316586"/>
    <w:rsid w:val="00316C5D"/>
    <w:rsid w:val="00317B1B"/>
    <w:rsid w:val="00317E18"/>
    <w:rsid w:val="0032021A"/>
    <w:rsid w:val="003224A5"/>
    <w:rsid w:val="00324A9C"/>
    <w:rsid w:val="00327D53"/>
    <w:rsid w:val="003308CB"/>
    <w:rsid w:val="00331668"/>
    <w:rsid w:val="00334993"/>
    <w:rsid w:val="00334A3B"/>
    <w:rsid w:val="00335366"/>
    <w:rsid w:val="00335DC7"/>
    <w:rsid w:val="00336C0B"/>
    <w:rsid w:val="00337579"/>
    <w:rsid w:val="00337B20"/>
    <w:rsid w:val="0034005F"/>
    <w:rsid w:val="0034015F"/>
    <w:rsid w:val="00340196"/>
    <w:rsid w:val="003418C5"/>
    <w:rsid w:val="00342DE5"/>
    <w:rsid w:val="00346857"/>
    <w:rsid w:val="003518CC"/>
    <w:rsid w:val="003519F3"/>
    <w:rsid w:val="00351AFD"/>
    <w:rsid w:val="00355C8B"/>
    <w:rsid w:val="003564A1"/>
    <w:rsid w:val="003564E5"/>
    <w:rsid w:val="00356C24"/>
    <w:rsid w:val="003571F9"/>
    <w:rsid w:val="00357764"/>
    <w:rsid w:val="00362A94"/>
    <w:rsid w:val="00363D38"/>
    <w:rsid w:val="00366AFF"/>
    <w:rsid w:val="00367DF4"/>
    <w:rsid w:val="003709F2"/>
    <w:rsid w:val="00371B7D"/>
    <w:rsid w:val="00371CDE"/>
    <w:rsid w:val="003723B9"/>
    <w:rsid w:val="00380AEA"/>
    <w:rsid w:val="00384353"/>
    <w:rsid w:val="003851D6"/>
    <w:rsid w:val="00386E6B"/>
    <w:rsid w:val="00387600"/>
    <w:rsid w:val="00391007"/>
    <w:rsid w:val="003919A0"/>
    <w:rsid w:val="003920EC"/>
    <w:rsid w:val="00393357"/>
    <w:rsid w:val="00393A76"/>
    <w:rsid w:val="00395635"/>
    <w:rsid w:val="0039598F"/>
    <w:rsid w:val="003960BB"/>
    <w:rsid w:val="00396393"/>
    <w:rsid w:val="00397035"/>
    <w:rsid w:val="00397316"/>
    <w:rsid w:val="00397332"/>
    <w:rsid w:val="003A10A1"/>
    <w:rsid w:val="003A1FAE"/>
    <w:rsid w:val="003A5F12"/>
    <w:rsid w:val="003A6278"/>
    <w:rsid w:val="003A632E"/>
    <w:rsid w:val="003A635F"/>
    <w:rsid w:val="003A7CFF"/>
    <w:rsid w:val="003A7D1A"/>
    <w:rsid w:val="003B054A"/>
    <w:rsid w:val="003B0E2B"/>
    <w:rsid w:val="003B19BF"/>
    <w:rsid w:val="003B1AC8"/>
    <w:rsid w:val="003B34FD"/>
    <w:rsid w:val="003B3A40"/>
    <w:rsid w:val="003B4E72"/>
    <w:rsid w:val="003B7E7D"/>
    <w:rsid w:val="003C259F"/>
    <w:rsid w:val="003C25BE"/>
    <w:rsid w:val="003C3349"/>
    <w:rsid w:val="003C7856"/>
    <w:rsid w:val="003D08AD"/>
    <w:rsid w:val="003D0BE4"/>
    <w:rsid w:val="003D36C6"/>
    <w:rsid w:val="003D4167"/>
    <w:rsid w:val="003D5198"/>
    <w:rsid w:val="003D58A3"/>
    <w:rsid w:val="003D6319"/>
    <w:rsid w:val="003D63DD"/>
    <w:rsid w:val="003D64BB"/>
    <w:rsid w:val="003D6E4A"/>
    <w:rsid w:val="003E234E"/>
    <w:rsid w:val="003E3EB6"/>
    <w:rsid w:val="003E6098"/>
    <w:rsid w:val="003E7038"/>
    <w:rsid w:val="003E7276"/>
    <w:rsid w:val="003F0622"/>
    <w:rsid w:val="003F09E0"/>
    <w:rsid w:val="003F2A1A"/>
    <w:rsid w:val="003F3D38"/>
    <w:rsid w:val="00400C28"/>
    <w:rsid w:val="00400C3E"/>
    <w:rsid w:val="004029DA"/>
    <w:rsid w:val="00402C60"/>
    <w:rsid w:val="004046D9"/>
    <w:rsid w:val="00405B07"/>
    <w:rsid w:val="004073EC"/>
    <w:rsid w:val="00410789"/>
    <w:rsid w:val="00410AB1"/>
    <w:rsid w:val="00410F84"/>
    <w:rsid w:val="0041108E"/>
    <w:rsid w:val="00412018"/>
    <w:rsid w:val="0041293A"/>
    <w:rsid w:val="00412DC4"/>
    <w:rsid w:val="00416FA1"/>
    <w:rsid w:val="00417461"/>
    <w:rsid w:val="00420670"/>
    <w:rsid w:val="004232E9"/>
    <w:rsid w:val="004262DC"/>
    <w:rsid w:val="00426834"/>
    <w:rsid w:val="004301A3"/>
    <w:rsid w:val="00430612"/>
    <w:rsid w:val="004316B8"/>
    <w:rsid w:val="0043190B"/>
    <w:rsid w:val="00431F55"/>
    <w:rsid w:val="0043210C"/>
    <w:rsid w:val="00432427"/>
    <w:rsid w:val="00434EF6"/>
    <w:rsid w:val="00436D81"/>
    <w:rsid w:val="00441C97"/>
    <w:rsid w:val="0044267C"/>
    <w:rsid w:val="00442750"/>
    <w:rsid w:val="0044350E"/>
    <w:rsid w:val="00443772"/>
    <w:rsid w:val="00444836"/>
    <w:rsid w:val="004454AB"/>
    <w:rsid w:val="004465D8"/>
    <w:rsid w:val="0044725A"/>
    <w:rsid w:val="00447A52"/>
    <w:rsid w:val="00447B80"/>
    <w:rsid w:val="00447E1A"/>
    <w:rsid w:val="00450C04"/>
    <w:rsid w:val="00453A59"/>
    <w:rsid w:val="004547C2"/>
    <w:rsid w:val="00455F38"/>
    <w:rsid w:val="004639AB"/>
    <w:rsid w:val="0046688D"/>
    <w:rsid w:val="00467831"/>
    <w:rsid w:val="00471557"/>
    <w:rsid w:val="0047264B"/>
    <w:rsid w:val="00474E57"/>
    <w:rsid w:val="00474FB9"/>
    <w:rsid w:val="004763DC"/>
    <w:rsid w:val="004777AE"/>
    <w:rsid w:val="00480D4F"/>
    <w:rsid w:val="0048138C"/>
    <w:rsid w:val="004818B3"/>
    <w:rsid w:val="00484879"/>
    <w:rsid w:val="00485E5D"/>
    <w:rsid w:val="004861DC"/>
    <w:rsid w:val="004879BD"/>
    <w:rsid w:val="00492611"/>
    <w:rsid w:val="0049281D"/>
    <w:rsid w:val="00492AAD"/>
    <w:rsid w:val="00493A67"/>
    <w:rsid w:val="0049566E"/>
    <w:rsid w:val="00495C53"/>
    <w:rsid w:val="00495C8B"/>
    <w:rsid w:val="00496172"/>
    <w:rsid w:val="00496B47"/>
    <w:rsid w:val="00496CE9"/>
    <w:rsid w:val="00496F0B"/>
    <w:rsid w:val="004A035B"/>
    <w:rsid w:val="004A2AF7"/>
    <w:rsid w:val="004A429C"/>
    <w:rsid w:val="004A43E7"/>
    <w:rsid w:val="004A48E6"/>
    <w:rsid w:val="004A69B6"/>
    <w:rsid w:val="004A792E"/>
    <w:rsid w:val="004A7996"/>
    <w:rsid w:val="004B0A8D"/>
    <w:rsid w:val="004B16F4"/>
    <w:rsid w:val="004C2DC3"/>
    <w:rsid w:val="004C3EE3"/>
    <w:rsid w:val="004C418B"/>
    <w:rsid w:val="004C5322"/>
    <w:rsid w:val="004C7FD3"/>
    <w:rsid w:val="004D0618"/>
    <w:rsid w:val="004D08EB"/>
    <w:rsid w:val="004D369C"/>
    <w:rsid w:val="004D3C80"/>
    <w:rsid w:val="004D49B4"/>
    <w:rsid w:val="004D53CC"/>
    <w:rsid w:val="004D5FD1"/>
    <w:rsid w:val="004E2E0B"/>
    <w:rsid w:val="004E4205"/>
    <w:rsid w:val="004E434F"/>
    <w:rsid w:val="004E5774"/>
    <w:rsid w:val="004E62AB"/>
    <w:rsid w:val="004E6716"/>
    <w:rsid w:val="004F0ACA"/>
    <w:rsid w:val="004F1BA5"/>
    <w:rsid w:val="004F2476"/>
    <w:rsid w:val="004F2546"/>
    <w:rsid w:val="004F2EC5"/>
    <w:rsid w:val="004F3785"/>
    <w:rsid w:val="004F5B04"/>
    <w:rsid w:val="004F6F9C"/>
    <w:rsid w:val="004F730A"/>
    <w:rsid w:val="005007B2"/>
    <w:rsid w:val="00501AD6"/>
    <w:rsid w:val="00501CE7"/>
    <w:rsid w:val="00503A41"/>
    <w:rsid w:val="00505E3A"/>
    <w:rsid w:val="00507669"/>
    <w:rsid w:val="00507973"/>
    <w:rsid w:val="00510DAD"/>
    <w:rsid w:val="00511833"/>
    <w:rsid w:val="00512A78"/>
    <w:rsid w:val="00512F3C"/>
    <w:rsid w:val="005130FA"/>
    <w:rsid w:val="0051370A"/>
    <w:rsid w:val="0051391A"/>
    <w:rsid w:val="005139F1"/>
    <w:rsid w:val="00515E54"/>
    <w:rsid w:val="00520477"/>
    <w:rsid w:val="00520667"/>
    <w:rsid w:val="00521026"/>
    <w:rsid w:val="00521830"/>
    <w:rsid w:val="00522D9F"/>
    <w:rsid w:val="00522E2B"/>
    <w:rsid w:val="00522F5C"/>
    <w:rsid w:val="0052334A"/>
    <w:rsid w:val="0052356F"/>
    <w:rsid w:val="0052460F"/>
    <w:rsid w:val="00525D73"/>
    <w:rsid w:val="00525F6D"/>
    <w:rsid w:val="00527681"/>
    <w:rsid w:val="0053167D"/>
    <w:rsid w:val="00532C60"/>
    <w:rsid w:val="0053391C"/>
    <w:rsid w:val="005340E1"/>
    <w:rsid w:val="005358B0"/>
    <w:rsid w:val="00535A3E"/>
    <w:rsid w:val="00536D7D"/>
    <w:rsid w:val="005372B6"/>
    <w:rsid w:val="005409BE"/>
    <w:rsid w:val="00540BC8"/>
    <w:rsid w:val="00542347"/>
    <w:rsid w:val="005430F6"/>
    <w:rsid w:val="005475E0"/>
    <w:rsid w:val="00550C01"/>
    <w:rsid w:val="00552EB7"/>
    <w:rsid w:val="0055462F"/>
    <w:rsid w:val="00555552"/>
    <w:rsid w:val="005558A3"/>
    <w:rsid w:val="00555A58"/>
    <w:rsid w:val="005638CF"/>
    <w:rsid w:val="00565370"/>
    <w:rsid w:val="00573100"/>
    <w:rsid w:val="0057344B"/>
    <w:rsid w:val="00573BB9"/>
    <w:rsid w:val="00574824"/>
    <w:rsid w:val="0057525C"/>
    <w:rsid w:val="00576A86"/>
    <w:rsid w:val="00576C73"/>
    <w:rsid w:val="00577217"/>
    <w:rsid w:val="00580421"/>
    <w:rsid w:val="00582CF5"/>
    <w:rsid w:val="00586C71"/>
    <w:rsid w:val="00590223"/>
    <w:rsid w:val="0059050F"/>
    <w:rsid w:val="0059139F"/>
    <w:rsid w:val="005916CF"/>
    <w:rsid w:val="00592A33"/>
    <w:rsid w:val="00592E31"/>
    <w:rsid w:val="0059437D"/>
    <w:rsid w:val="00595C1E"/>
    <w:rsid w:val="00596591"/>
    <w:rsid w:val="00596E74"/>
    <w:rsid w:val="00597556"/>
    <w:rsid w:val="005A3119"/>
    <w:rsid w:val="005A3D5B"/>
    <w:rsid w:val="005A44E9"/>
    <w:rsid w:val="005A6C94"/>
    <w:rsid w:val="005B0846"/>
    <w:rsid w:val="005B0C4F"/>
    <w:rsid w:val="005B4783"/>
    <w:rsid w:val="005B4EFF"/>
    <w:rsid w:val="005C1788"/>
    <w:rsid w:val="005C1C39"/>
    <w:rsid w:val="005C2438"/>
    <w:rsid w:val="005C2843"/>
    <w:rsid w:val="005C29F5"/>
    <w:rsid w:val="005C4217"/>
    <w:rsid w:val="005C50CD"/>
    <w:rsid w:val="005C64EB"/>
    <w:rsid w:val="005C6DA5"/>
    <w:rsid w:val="005D1A69"/>
    <w:rsid w:val="005D2211"/>
    <w:rsid w:val="005D33A5"/>
    <w:rsid w:val="005D676C"/>
    <w:rsid w:val="005D6A89"/>
    <w:rsid w:val="005D6C01"/>
    <w:rsid w:val="005D7833"/>
    <w:rsid w:val="005D7F93"/>
    <w:rsid w:val="005E06E7"/>
    <w:rsid w:val="005E32E4"/>
    <w:rsid w:val="005E6372"/>
    <w:rsid w:val="005E65B5"/>
    <w:rsid w:val="005F00B5"/>
    <w:rsid w:val="005F07CC"/>
    <w:rsid w:val="005F0F0F"/>
    <w:rsid w:val="005F17B7"/>
    <w:rsid w:val="005F2F3B"/>
    <w:rsid w:val="005F4E58"/>
    <w:rsid w:val="005F650A"/>
    <w:rsid w:val="00601ABF"/>
    <w:rsid w:val="00604E53"/>
    <w:rsid w:val="00612D7A"/>
    <w:rsid w:val="00612E2F"/>
    <w:rsid w:val="0061360E"/>
    <w:rsid w:val="00613A26"/>
    <w:rsid w:val="00617469"/>
    <w:rsid w:val="00617A46"/>
    <w:rsid w:val="00617D8A"/>
    <w:rsid w:val="0062144B"/>
    <w:rsid w:val="00621583"/>
    <w:rsid w:val="006218B8"/>
    <w:rsid w:val="00621E05"/>
    <w:rsid w:val="006234D0"/>
    <w:rsid w:val="00624234"/>
    <w:rsid w:val="006245EF"/>
    <w:rsid w:val="00625943"/>
    <w:rsid w:val="006311F5"/>
    <w:rsid w:val="006347AD"/>
    <w:rsid w:val="006351B5"/>
    <w:rsid w:val="00635CDB"/>
    <w:rsid w:val="00635EF5"/>
    <w:rsid w:val="0063692D"/>
    <w:rsid w:val="006421CA"/>
    <w:rsid w:val="0064353F"/>
    <w:rsid w:val="00644746"/>
    <w:rsid w:val="00651159"/>
    <w:rsid w:val="006525D7"/>
    <w:rsid w:val="00652D3F"/>
    <w:rsid w:val="0065315D"/>
    <w:rsid w:val="006547AC"/>
    <w:rsid w:val="00654BB5"/>
    <w:rsid w:val="00656E56"/>
    <w:rsid w:val="00657039"/>
    <w:rsid w:val="00661CDB"/>
    <w:rsid w:val="00663872"/>
    <w:rsid w:val="006642D4"/>
    <w:rsid w:val="00664497"/>
    <w:rsid w:val="00664C0A"/>
    <w:rsid w:val="00665073"/>
    <w:rsid w:val="006651DD"/>
    <w:rsid w:val="00665B75"/>
    <w:rsid w:val="006664D3"/>
    <w:rsid w:val="006670A8"/>
    <w:rsid w:val="0067170E"/>
    <w:rsid w:val="00673026"/>
    <w:rsid w:val="00673E30"/>
    <w:rsid w:val="0067607A"/>
    <w:rsid w:val="0067710D"/>
    <w:rsid w:val="0067789A"/>
    <w:rsid w:val="00677CD4"/>
    <w:rsid w:val="00681BDA"/>
    <w:rsid w:val="00683032"/>
    <w:rsid w:val="0068414B"/>
    <w:rsid w:val="00684394"/>
    <w:rsid w:val="00686517"/>
    <w:rsid w:val="00687370"/>
    <w:rsid w:val="0069209B"/>
    <w:rsid w:val="00692B76"/>
    <w:rsid w:val="00694F40"/>
    <w:rsid w:val="00696058"/>
    <w:rsid w:val="00696B8D"/>
    <w:rsid w:val="00697438"/>
    <w:rsid w:val="0069779C"/>
    <w:rsid w:val="006A0656"/>
    <w:rsid w:val="006A09B1"/>
    <w:rsid w:val="006A0CC0"/>
    <w:rsid w:val="006A19A2"/>
    <w:rsid w:val="006A475A"/>
    <w:rsid w:val="006A5CFC"/>
    <w:rsid w:val="006A731C"/>
    <w:rsid w:val="006B069E"/>
    <w:rsid w:val="006B1BDD"/>
    <w:rsid w:val="006B6396"/>
    <w:rsid w:val="006B6C63"/>
    <w:rsid w:val="006B7494"/>
    <w:rsid w:val="006C039D"/>
    <w:rsid w:val="006C060B"/>
    <w:rsid w:val="006C194A"/>
    <w:rsid w:val="006C289C"/>
    <w:rsid w:val="006C59AB"/>
    <w:rsid w:val="006C6063"/>
    <w:rsid w:val="006D0374"/>
    <w:rsid w:val="006D222D"/>
    <w:rsid w:val="006D2482"/>
    <w:rsid w:val="006D39D2"/>
    <w:rsid w:val="006D3A6A"/>
    <w:rsid w:val="006D4305"/>
    <w:rsid w:val="006D433D"/>
    <w:rsid w:val="006D445B"/>
    <w:rsid w:val="006D54B6"/>
    <w:rsid w:val="006D5C2F"/>
    <w:rsid w:val="006D5DA5"/>
    <w:rsid w:val="006D6567"/>
    <w:rsid w:val="006D731A"/>
    <w:rsid w:val="006D7F16"/>
    <w:rsid w:val="006E0795"/>
    <w:rsid w:val="006E0A03"/>
    <w:rsid w:val="006E0CC4"/>
    <w:rsid w:val="006E1779"/>
    <w:rsid w:val="006E278E"/>
    <w:rsid w:val="006E585A"/>
    <w:rsid w:val="006E66BE"/>
    <w:rsid w:val="006F0C18"/>
    <w:rsid w:val="006F28D8"/>
    <w:rsid w:val="006F4035"/>
    <w:rsid w:val="006F41BD"/>
    <w:rsid w:val="006F43EC"/>
    <w:rsid w:val="006F5964"/>
    <w:rsid w:val="006F62CE"/>
    <w:rsid w:val="006F766F"/>
    <w:rsid w:val="00700A35"/>
    <w:rsid w:val="00700C2C"/>
    <w:rsid w:val="00707C7F"/>
    <w:rsid w:val="00710C6D"/>
    <w:rsid w:val="00713833"/>
    <w:rsid w:val="00715465"/>
    <w:rsid w:val="007167B5"/>
    <w:rsid w:val="00717676"/>
    <w:rsid w:val="00720B1B"/>
    <w:rsid w:val="00720CC9"/>
    <w:rsid w:val="0072201A"/>
    <w:rsid w:val="0072348D"/>
    <w:rsid w:val="0073158E"/>
    <w:rsid w:val="00731747"/>
    <w:rsid w:val="007321D9"/>
    <w:rsid w:val="00733610"/>
    <w:rsid w:val="00736157"/>
    <w:rsid w:val="0073649D"/>
    <w:rsid w:val="0073685F"/>
    <w:rsid w:val="0074006C"/>
    <w:rsid w:val="00740389"/>
    <w:rsid w:val="00740F04"/>
    <w:rsid w:val="00741668"/>
    <w:rsid w:val="0074223B"/>
    <w:rsid w:val="00743030"/>
    <w:rsid w:val="00743CEE"/>
    <w:rsid w:val="00747566"/>
    <w:rsid w:val="0075093D"/>
    <w:rsid w:val="00750BE4"/>
    <w:rsid w:val="00751646"/>
    <w:rsid w:val="007528C6"/>
    <w:rsid w:val="00753DF1"/>
    <w:rsid w:val="007564D0"/>
    <w:rsid w:val="00756795"/>
    <w:rsid w:val="00757565"/>
    <w:rsid w:val="00760D16"/>
    <w:rsid w:val="007611B3"/>
    <w:rsid w:val="007616B0"/>
    <w:rsid w:val="00761E2A"/>
    <w:rsid w:val="007627BF"/>
    <w:rsid w:val="007638D7"/>
    <w:rsid w:val="00765B5F"/>
    <w:rsid w:val="00766314"/>
    <w:rsid w:val="0076693F"/>
    <w:rsid w:val="00766C92"/>
    <w:rsid w:val="00767D5A"/>
    <w:rsid w:val="00767E9B"/>
    <w:rsid w:val="00767EF2"/>
    <w:rsid w:val="00770821"/>
    <w:rsid w:val="0077410E"/>
    <w:rsid w:val="0077627A"/>
    <w:rsid w:val="00777514"/>
    <w:rsid w:val="00777D3F"/>
    <w:rsid w:val="00780B0D"/>
    <w:rsid w:val="0078166D"/>
    <w:rsid w:val="00781A28"/>
    <w:rsid w:val="007822C6"/>
    <w:rsid w:val="00783CF8"/>
    <w:rsid w:val="007844BF"/>
    <w:rsid w:val="00785F72"/>
    <w:rsid w:val="00786696"/>
    <w:rsid w:val="00787D90"/>
    <w:rsid w:val="00790C35"/>
    <w:rsid w:val="0079126A"/>
    <w:rsid w:val="007915AF"/>
    <w:rsid w:val="0079288E"/>
    <w:rsid w:val="00792DE1"/>
    <w:rsid w:val="00793828"/>
    <w:rsid w:val="007940EE"/>
    <w:rsid w:val="00795B71"/>
    <w:rsid w:val="00796553"/>
    <w:rsid w:val="007A08A7"/>
    <w:rsid w:val="007A1560"/>
    <w:rsid w:val="007A2881"/>
    <w:rsid w:val="007A5571"/>
    <w:rsid w:val="007A60DB"/>
    <w:rsid w:val="007A677B"/>
    <w:rsid w:val="007A7ABB"/>
    <w:rsid w:val="007B056C"/>
    <w:rsid w:val="007B10EC"/>
    <w:rsid w:val="007B20A5"/>
    <w:rsid w:val="007B2151"/>
    <w:rsid w:val="007B2C6A"/>
    <w:rsid w:val="007B325C"/>
    <w:rsid w:val="007B341F"/>
    <w:rsid w:val="007B3778"/>
    <w:rsid w:val="007B7833"/>
    <w:rsid w:val="007C0DF0"/>
    <w:rsid w:val="007C3238"/>
    <w:rsid w:val="007C4158"/>
    <w:rsid w:val="007C6429"/>
    <w:rsid w:val="007C7843"/>
    <w:rsid w:val="007D05F9"/>
    <w:rsid w:val="007D0B4A"/>
    <w:rsid w:val="007D128B"/>
    <w:rsid w:val="007D12B2"/>
    <w:rsid w:val="007D18B7"/>
    <w:rsid w:val="007D3626"/>
    <w:rsid w:val="007D594B"/>
    <w:rsid w:val="007D59DE"/>
    <w:rsid w:val="007D6076"/>
    <w:rsid w:val="007E3D2F"/>
    <w:rsid w:val="007E3EBD"/>
    <w:rsid w:val="007E675C"/>
    <w:rsid w:val="007F092E"/>
    <w:rsid w:val="007F3A24"/>
    <w:rsid w:val="007F4E3D"/>
    <w:rsid w:val="00800DE4"/>
    <w:rsid w:val="00801429"/>
    <w:rsid w:val="008051E7"/>
    <w:rsid w:val="0080585A"/>
    <w:rsid w:val="00805B8D"/>
    <w:rsid w:val="00807D41"/>
    <w:rsid w:val="00814699"/>
    <w:rsid w:val="008148F4"/>
    <w:rsid w:val="00816E61"/>
    <w:rsid w:val="00823C64"/>
    <w:rsid w:val="00824A22"/>
    <w:rsid w:val="0082658E"/>
    <w:rsid w:val="00826E00"/>
    <w:rsid w:val="00827A84"/>
    <w:rsid w:val="008301C4"/>
    <w:rsid w:val="0083072B"/>
    <w:rsid w:val="008307F1"/>
    <w:rsid w:val="00831D56"/>
    <w:rsid w:val="00833CBD"/>
    <w:rsid w:val="0083416E"/>
    <w:rsid w:val="0083465D"/>
    <w:rsid w:val="0083511B"/>
    <w:rsid w:val="0083554E"/>
    <w:rsid w:val="00835760"/>
    <w:rsid w:val="008403D7"/>
    <w:rsid w:val="00841BE4"/>
    <w:rsid w:val="008448E3"/>
    <w:rsid w:val="00844F0B"/>
    <w:rsid w:val="0084583B"/>
    <w:rsid w:val="00847460"/>
    <w:rsid w:val="008477AD"/>
    <w:rsid w:val="0085126E"/>
    <w:rsid w:val="008519BD"/>
    <w:rsid w:val="00852C14"/>
    <w:rsid w:val="00853BF2"/>
    <w:rsid w:val="0085412A"/>
    <w:rsid w:val="00855C6A"/>
    <w:rsid w:val="008576CD"/>
    <w:rsid w:val="008606C1"/>
    <w:rsid w:val="008616F9"/>
    <w:rsid w:val="00861BF8"/>
    <w:rsid w:val="008629AE"/>
    <w:rsid w:val="00864B82"/>
    <w:rsid w:val="00865095"/>
    <w:rsid w:val="008670F8"/>
    <w:rsid w:val="008674DC"/>
    <w:rsid w:val="00867538"/>
    <w:rsid w:val="008715E4"/>
    <w:rsid w:val="00873C6E"/>
    <w:rsid w:val="0087458E"/>
    <w:rsid w:val="00875AF8"/>
    <w:rsid w:val="00876E4E"/>
    <w:rsid w:val="00877837"/>
    <w:rsid w:val="0087783A"/>
    <w:rsid w:val="00877DCC"/>
    <w:rsid w:val="00881FDC"/>
    <w:rsid w:val="00882D66"/>
    <w:rsid w:val="008839F7"/>
    <w:rsid w:val="00884C7C"/>
    <w:rsid w:val="00884CD5"/>
    <w:rsid w:val="0089047F"/>
    <w:rsid w:val="0089079A"/>
    <w:rsid w:val="00891A9C"/>
    <w:rsid w:val="00891F6D"/>
    <w:rsid w:val="0089472D"/>
    <w:rsid w:val="00895335"/>
    <w:rsid w:val="0089619C"/>
    <w:rsid w:val="00897152"/>
    <w:rsid w:val="0089756C"/>
    <w:rsid w:val="008A20D1"/>
    <w:rsid w:val="008A20FB"/>
    <w:rsid w:val="008A2CF9"/>
    <w:rsid w:val="008A3758"/>
    <w:rsid w:val="008A3B00"/>
    <w:rsid w:val="008A4008"/>
    <w:rsid w:val="008A473C"/>
    <w:rsid w:val="008A4A1B"/>
    <w:rsid w:val="008A4DA6"/>
    <w:rsid w:val="008A5B78"/>
    <w:rsid w:val="008A62E6"/>
    <w:rsid w:val="008A6A85"/>
    <w:rsid w:val="008A771B"/>
    <w:rsid w:val="008A7887"/>
    <w:rsid w:val="008B253A"/>
    <w:rsid w:val="008B2B2E"/>
    <w:rsid w:val="008B34CC"/>
    <w:rsid w:val="008B3B3F"/>
    <w:rsid w:val="008B4CB1"/>
    <w:rsid w:val="008B58A8"/>
    <w:rsid w:val="008B6B5C"/>
    <w:rsid w:val="008B7539"/>
    <w:rsid w:val="008B78A9"/>
    <w:rsid w:val="008C0153"/>
    <w:rsid w:val="008C258F"/>
    <w:rsid w:val="008C3616"/>
    <w:rsid w:val="008C65E0"/>
    <w:rsid w:val="008C6BBD"/>
    <w:rsid w:val="008C7761"/>
    <w:rsid w:val="008D098F"/>
    <w:rsid w:val="008D09A3"/>
    <w:rsid w:val="008D1457"/>
    <w:rsid w:val="008D1B95"/>
    <w:rsid w:val="008D535F"/>
    <w:rsid w:val="008D5840"/>
    <w:rsid w:val="008E05AD"/>
    <w:rsid w:val="008E20C1"/>
    <w:rsid w:val="008E37FF"/>
    <w:rsid w:val="008E3BAD"/>
    <w:rsid w:val="008E70D2"/>
    <w:rsid w:val="008E7894"/>
    <w:rsid w:val="008F1761"/>
    <w:rsid w:val="008F178B"/>
    <w:rsid w:val="008F1A67"/>
    <w:rsid w:val="008F22D4"/>
    <w:rsid w:val="008F428A"/>
    <w:rsid w:val="008F4294"/>
    <w:rsid w:val="008F4570"/>
    <w:rsid w:val="008F4E16"/>
    <w:rsid w:val="008F5016"/>
    <w:rsid w:val="008F63DE"/>
    <w:rsid w:val="008F6FC7"/>
    <w:rsid w:val="00902900"/>
    <w:rsid w:val="00903809"/>
    <w:rsid w:val="0090403B"/>
    <w:rsid w:val="009045EE"/>
    <w:rsid w:val="00905D7C"/>
    <w:rsid w:val="0090659F"/>
    <w:rsid w:val="00907DF3"/>
    <w:rsid w:val="009112BF"/>
    <w:rsid w:val="00913B1A"/>
    <w:rsid w:val="00914D03"/>
    <w:rsid w:val="00917466"/>
    <w:rsid w:val="00917B7B"/>
    <w:rsid w:val="00920193"/>
    <w:rsid w:val="00920920"/>
    <w:rsid w:val="00921CD2"/>
    <w:rsid w:val="00922B8E"/>
    <w:rsid w:val="009247D3"/>
    <w:rsid w:val="00924E05"/>
    <w:rsid w:val="00925720"/>
    <w:rsid w:val="00926111"/>
    <w:rsid w:val="0092630A"/>
    <w:rsid w:val="0092737C"/>
    <w:rsid w:val="00930BDC"/>
    <w:rsid w:val="00931ACB"/>
    <w:rsid w:val="0093494F"/>
    <w:rsid w:val="00935EBB"/>
    <w:rsid w:val="009363E0"/>
    <w:rsid w:val="009364DB"/>
    <w:rsid w:val="00936D45"/>
    <w:rsid w:val="0094090E"/>
    <w:rsid w:val="00941ED0"/>
    <w:rsid w:val="009427F0"/>
    <w:rsid w:val="00943DE4"/>
    <w:rsid w:val="00945CFF"/>
    <w:rsid w:val="009475D8"/>
    <w:rsid w:val="00950DDD"/>
    <w:rsid w:val="00951564"/>
    <w:rsid w:val="009518E2"/>
    <w:rsid w:val="00953DBB"/>
    <w:rsid w:val="009550F6"/>
    <w:rsid w:val="0096026C"/>
    <w:rsid w:val="00960322"/>
    <w:rsid w:val="0096253A"/>
    <w:rsid w:val="00963A9E"/>
    <w:rsid w:val="00963AA9"/>
    <w:rsid w:val="00964500"/>
    <w:rsid w:val="00965C0C"/>
    <w:rsid w:val="00967C39"/>
    <w:rsid w:val="00972CE5"/>
    <w:rsid w:val="00976495"/>
    <w:rsid w:val="00977D4A"/>
    <w:rsid w:val="00977E1A"/>
    <w:rsid w:val="0098066A"/>
    <w:rsid w:val="009826E5"/>
    <w:rsid w:val="0098298B"/>
    <w:rsid w:val="009838A0"/>
    <w:rsid w:val="00985EDE"/>
    <w:rsid w:val="00987530"/>
    <w:rsid w:val="0098755A"/>
    <w:rsid w:val="00990748"/>
    <w:rsid w:val="00993E78"/>
    <w:rsid w:val="00995E61"/>
    <w:rsid w:val="00996089"/>
    <w:rsid w:val="00997F20"/>
    <w:rsid w:val="009A04ED"/>
    <w:rsid w:val="009A101C"/>
    <w:rsid w:val="009A2BD0"/>
    <w:rsid w:val="009A6698"/>
    <w:rsid w:val="009B27EF"/>
    <w:rsid w:val="009B3BBF"/>
    <w:rsid w:val="009B4E48"/>
    <w:rsid w:val="009B70B2"/>
    <w:rsid w:val="009B70BF"/>
    <w:rsid w:val="009C0CFA"/>
    <w:rsid w:val="009C0F42"/>
    <w:rsid w:val="009C3B00"/>
    <w:rsid w:val="009C4B25"/>
    <w:rsid w:val="009C5047"/>
    <w:rsid w:val="009C7E62"/>
    <w:rsid w:val="009D1D7E"/>
    <w:rsid w:val="009D394E"/>
    <w:rsid w:val="009D3D66"/>
    <w:rsid w:val="009D54E8"/>
    <w:rsid w:val="009D65EC"/>
    <w:rsid w:val="009D78AA"/>
    <w:rsid w:val="009E105B"/>
    <w:rsid w:val="009E3FC8"/>
    <w:rsid w:val="009E5583"/>
    <w:rsid w:val="009E6862"/>
    <w:rsid w:val="009E6B1F"/>
    <w:rsid w:val="009E7BF5"/>
    <w:rsid w:val="009E7F40"/>
    <w:rsid w:val="009F161D"/>
    <w:rsid w:val="009F1937"/>
    <w:rsid w:val="009F2B9A"/>
    <w:rsid w:val="009F3A3C"/>
    <w:rsid w:val="009F4479"/>
    <w:rsid w:val="00A000E2"/>
    <w:rsid w:val="00A01F16"/>
    <w:rsid w:val="00A045A5"/>
    <w:rsid w:val="00A05678"/>
    <w:rsid w:val="00A06E1F"/>
    <w:rsid w:val="00A0768D"/>
    <w:rsid w:val="00A07ED4"/>
    <w:rsid w:val="00A1317B"/>
    <w:rsid w:val="00A213A2"/>
    <w:rsid w:val="00A24F4B"/>
    <w:rsid w:val="00A2533D"/>
    <w:rsid w:val="00A25A6F"/>
    <w:rsid w:val="00A25AD5"/>
    <w:rsid w:val="00A266ED"/>
    <w:rsid w:val="00A30571"/>
    <w:rsid w:val="00A3165E"/>
    <w:rsid w:val="00A31CF8"/>
    <w:rsid w:val="00A3272E"/>
    <w:rsid w:val="00A3290A"/>
    <w:rsid w:val="00A33D34"/>
    <w:rsid w:val="00A35B61"/>
    <w:rsid w:val="00A3715D"/>
    <w:rsid w:val="00A40829"/>
    <w:rsid w:val="00A41386"/>
    <w:rsid w:val="00A4305E"/>
    <w:rsid w:val="00A4471B"/>
    <w:rsid w:val="00A4665E"/>
    <w:rsid w:val="00A52373"/>
    <w:rsid w:val="00A53F10"/>
    <w:rsid w:val="00A54283"/>
    <w:rsid w:val="00A54524"/>
    <w:rsid w:val="00A57518"/>
    <w:rsid w:val="00A57A7B"/>
    <w:rsid w:val="00A57F15"/>
    <w:rsid w:val="00A60746"/>
    <w:rsid w:val="00A620C6"/>
    <w:rsid w:val="00A62485"/>
    <w:rsid w:val="00A62959"/>
    <w:rsid w:val="00A62E07"/>
    <w:rsid w:val="00A63672"/>
    <w:rsid w:val="00A65D93"/>
    <w:rsid w:val="00A73429"/>
    <w:rsid w:val="00A736AC"/>
    <w:rsid w:val="00A743F4"/>
    <w:rsid w:val="00A747C7"/>
    <w:rsid w:val="00A758C2"/>
    <w:rsid w:val="00A7613B"/>
    <w:rsid w:val="00A76CCF"/>
    <w:rsid w:val="00A76FE3"/>
    <w:rsid w:val="00A80463"/>
    <w:rsid w:val="00A814B9"/>
    <w:rsid w:val="00A81CD3"/>
    <w:rsid w:val="00A825A9"/>
    <w:rsid w:val="00A82D03"/>
    <w:rsid w:val="00A849C4"/>
    <w:rsid w:val="00A84E5E"/>
    <w:rsid w:val="00A86187"/>
    <w:rsid w:val="00A90888"/>
    <w:rsid w:val="00A91EDB"/>
    <w:rsid w:val="00A92407"/>
    <w:rsid w:val="00A95AEC"/>
    <w:rsid w:val="00A95DF5"/>
    <w:rsid w:val="00AA2577"/>
    <w:rsid w:val="00AA2DC6"/>
    <w:rsid w:val="00AA35D1"/>
    <w:rsid w:val="00AA4DAC"/>
    <w:rsid w:val="00AA5301"/>
    <w:rsid w:val="00AA672F"/>
    <w:rsid w:val="00AB1F5C"/>
    <w:rsid w:val="00AB2341"/>
    <w:rsid w:val="00AB323B"/>
    <w:rsid w:val="00AB36C8"/>
    <w:rsid w:val="00AB3FBF"/>
    <w:rsid w:val="00AB53B6"/>
    <w:rsid w:val="00AB6514"/>
    <w:rsid w:val="00AB69A3"/>
    <w:rsid w:val="00AC10F9"/>
    <w:rsid w:val="00AC28B5"/>
    <w:rsid w:val="00AC322D"/>
    <w:rsid w:val="00AC54CF"/>
    <w:rsid w:val="00AC7F62"/>
    <w:rsid w:val="00AD087E"/>
    <w:rsid w:val="00AD138F"/>
    <w:rsid w:val="00AD2581"/>
    <w:rsid w:val="00AD4EAF"/>
    <w:rsid w:val="00AD4FD4"/>
    <w:rsid w:val="00AD5121"/>
    <w:rsid w:val="00AD5E49"/>
    <w:rsid w:val="00AD77BA"/>
    <w:rsid w:val="00AD7FA3"/>
    <w:rsid w:val="00AE016E"/>
    <w:rsid w:val="00AE02D0"/>
    <w:rsid w:val="00AE2D34"/>
    <w:rsid w:val="00AE43F5"/>
    <w:rsid w:val="00AE43F6"/>
    <w:rsid w:val="00AE7C1D"/>
    <w:rsid w:val="00AF0D74"/>
    <w:rsid w:val="00AF472D"/>
    <w:rsid w:val="00B0040E"/>
    <w:rsid w:val="00B00CE2"/>
    <w:rsid w:val="00B00EC4"/>
    <w:rsid w:val="00B01420"/>
    <w:rsid w:val="00B0157E"/>
    <w:rsid w:val="00B03D80"/>
    <w:rsid w:val="00B04263"/>
    <w:rsid w:val="00B0443E"/>
    <w:rsid w:val="00B046A5"/>
    <w:rsid w:val="00B05D18"/>
    <w:rsid w:val="00B07B82"/>
    <w:rsid w:val="00B11EE4"/>
    <w:rsid w:val="00B12796"/>
    <w:rsid w:val="00B12EF2"/>
    <w:rsid w:val="00B13AFC"/>
    <w:rsid w:val="00B15CEF"/>
    <w:rsid w:val="00B17E1E"/>
    <w:rsid w:val="00B20869"/>
    <w:rsid w:val="00B22181"/>
    <w:rsid w:val="00B222FB"/>
    <w:rsid w:val="00B22A77"/>
    <w:rsid w:val="00B235E9"/>
    <w:rsid w:val="00B23704"/>
    <w:rsid w:val="00B241ED"/>
    <w:rsid w:val="00B25C63"/>
    <w:rsid w:val="00B25F8F"/>
    <w:rsid w:val="00B26879"/>
    <w:rsid w:val="00B3091C"/>
    <w:rsid w:val="00B30FAA"/>
    <w:rsid w:val="00B31A51"/>
    <w:rsid w:val="00B32675"/>
    <w:rsid w:val="00B329D5"/>
    <w:rsid w:val="00B32A9C"/>
    <w:rsid w:val="00B33F49"/>
    <w:rsid w:val="00B350AB"/>
    <w:rsid w:val="00B36A0C"/>
    <w:rsid w:val="00B3708A"/>
    <w:rsid w:val="00B40F75"/>
    <w:rsid w:val="00B42F48"/>
    <w:rsid w:val="00B4487D"/>
    <w:rsid w:val="00B4687B"/>
    <w:rsid w:val="00B47311"/>
    <w:rsid w:val="00B5029A"/>
    <w:rsid w:val="00B51BBE"/>
    <w:rsid w:val="00B51D37"/>
    <w:rsid w:val="00B5236E"/>
    <w:rsid w:val="00B524F6"/>
    <w:rsid w:val="00B52657"/>
    <w:rsid w:val="00B52F36"/>
    <w:rsid w:val="00B53CEF"/>
    <w:rsid w:val="00B5441C"/>
    <w:rsid w:val="00B5579D"/>
    <w:rsid w:val="00B6082F"/>
    <w:rsid w:val="00B60F40"/>
    <w:rsid w:val="00B622AD"/>
    <w:rsid w:val="00B6505A"/>
    <w:rsid w:val="00B7139A"/>
    <w:rsid w:val="00B72F58"/>
    <w:rsid w:val="00B75BFF"/>
    <w:rsid w:val="00B76874"/>
    <w:rsid w:val="00B772C2"/>
    <w:rsid w:val="00B77666"/>
    <w:rsid w:val="00B7786A"/>
    <w:rsid w:val="00B7794B"/>
    <w:rsid w:val="00B80DBF"/>
    <w:rsid w:val="00B82BCF"/>
    <w:rsid w:val="00B83767"/>
    <w:rsid w:val="00B859FC"/>
    <w:rsid w:val="00B90CF9"/>
    <w:rsid w:val="00B90D2E"/>
    <w:rsid w:val="00B9167A"/>
    <w:rsid w:val="00B94FDA"/>
    <w:rsid w:val="00B96BDD"/>
    <w:rsid w:val="00B975C4"/>
    <w:rsid w:val="00BA1B69"/>
    <w:rsid w:val="00BA1E28"/>
    <w:rsid w:val="00BA3745"/>
    <w:rsid w:val="00BA3A13"/>
    <w:rsid w:val="00BA49BE"/>
    <w:rsid w:val="00BA5AB4"/>
    <w:rsid w:val="00BA6F8C"/>
    <w:rsid w:val="00BA7637"/>
    <w:rsid w:val="00BB063E"/>
    <w:rsid w:val="00BB06C5"/>
    <w:rsid w:val="00BB0832"/>
    <w:rsid w:val="00BB12B5"/>
    <w:rsid w:val="00BB2AFC"/>
    <w:rsid w:val="00BB7D0C"/>
    <w:rsid w:val="00BC05CB"/>
    <w:rsid w:val="00BC067A"/>
    <w:rsid w:val="00BC0E97"/>
    <w:rsid w:val="00BC1411"/>
    <w:rsid w:val="00BD23BF"/>
    <w:rsid w:val="00BD29D4"/>
    <w:rsid w:val="00BD3915"/>
    <w:rsid w:val="00BD61FA"/>
    <w:rsid w:val="00BD6CA7"/>
    <w:rsid w:val="00BD708C"/>
    <w:rsid w:val="00BE0875"/>
    <w:rsid w:val="00BE0C7A"/>
    <w:rsid w:val="00BE1690"/>
    <w:rsid w:val="00BE1BBA"/>
    <w:rsid w:val="00BE1F99"/>
    <w:rsid w:val="00BE33F7"/>
    <w:rsid w:val="00BE4177"/>
    <w:rsid w:val="00BE4875"/>
    <w:rsid w:val="00BE56B8"/>
    <w:rsid w:val="00BE77C1"/>
    <w:rsid w:val="00BE7CD1"/>
    <w:rsid w:val="00BF3A22"/>
    <w:rsid w:val="00BF3D07"/>
    <w:rsid w:val="00BF49CB"/>
    <w:rsid w:val="00BF4D36"/>
    <w:rsid w:val="00BF4F3B"/>
    <w:rsid w:val="00BF5540"/>
    <w:rsid w:val="00BF757D"/>
    <w:rsid w:val="00C00A66"/>
    <w:rsid w:val="00C017DF"/>
    <w:rsid w:val="00C032AF"/>
    <w:rsid w:val="00C04B32"/>
    <w:rsid w:val="00C0730A"/>
    <w:rsid w:val="00C1405F"/>
    <w:rsid w:val="00C147E3"/>
    <w:rsid w:val="00C1634B"/>
    <w:rsid w:val="00C1677E"/>
    <w:rsid w:val="00C16FEE"/>
    <w:rsid w:val="00C173D7"/>
    <w:rsid w:val="00C17BA3"/>
    <w:rsid w:val="00C17EB5"/>
    <w:rsid w:val="00C20165"/>
    <w:rsid w:val="00C21B42"/>
    <w:rsid w:val="00C241F7"/>
    <w:rsid w:val="00C24B21"/>
    <w:rsid w:val="00C327ED"/>
    <w:rsid w:val="00C32EE9"/>
    <w:rsid w:val="00C33029"/>
    <w:rsid w:val="00C34562"/>
    <w:rsid w:val="00C36CA6"/>
    <w:rsid w:val="00C37174"/>
    <w:rsid w:val="00C37C05"/>
    <w:rsid w:val="00C40166"/>
    <w:rsid w:val="00C4043C"/>
    <w:rsid w:val="00C40CF8"/>
    <w:rsid w:val="00C41AE3"/>
    <w:rsid w:val="00C423FC"/>
    <w:rsid w:val="00C42B53"/>
    <w:rsid w:val="00C42D08"/>
    <w:rsid w:val="00C4375D"/>
    <w:rsid w:val="00C43FC4"/>
    <w:rsid w:val="00C447D4"/>
    <w:rsid w:val="00C45944"/>
    <w:rsid w:val="00C46CE5"/>
    <w:rsid w:val="00C476DF"/>
    <w:rsid w:val="00C47A20"/>
    <w:rsid w:val="00C47EEC"/>
    <w:rsid w:val="00C504CD"/>
    <w:rsid w:val="00C51E3A"/>
    <w:rsid w:val="00C5231B"/>
    <w:rsid w:val="00C530E6"/>
    <w:rsid w:val="00C535C0"/>
    <w:rsid w:val="00C54215"/>
    <w:rsid w:val="00C61C2C"/>
    <w:rsid w:val="00C61FAF"/>
    <w:rsid w:val="00C641DB"/>
    <w:rsid w:val="00C66FAC"/>
    <w:rsid w:val="00C7074B"/>
    <w:rsid w:val="00C71EF4"/>
    <w:rsid w:val="00C73215"/>
    <w:rsid w:val="00C73A1D"/>
    <w:rsid w:val="00C749FC"/>
    <w:rsid w:val="00C75D76"/>
    <w:rsid w:val="00C76719"/>
    <w:rsid w:val="00C76DFD"/>
    <w:rsid w:val="00C802B9"/>
    <w:rsid w:val="00C80EF8"/>
    <w:rsid w:val="00C83366"/>
    <w:rsid w:val="00C83A65"/>
    <w:rsid w:val="00C84C03"/>
    <w:rsid w:val="00C866AE"/>
    <w:rsid w:val="00C91CE0"/>
    <w:rsid w:val="00C93AD0"/>
    <w:rsid w:val="00C93BFF"/>
    <w:rsid w:val="00C94AB6"/>
    <w:rsid w:val="00C95061"/>
    <w:rsid w:val="00C95068"/>
    <w:rsid w:val="00C95AFE"/>
    <w:rsid w:val="00CA1149"/>
    <w:rsid w:val="00CA516C"/>
    <w:rsid w:val="00CA5BDB"/>
    <w:rsid w:val="00CA6681"/>
    <w:rsid w:val="00CB04E3"/>
    <w:rsid w:val="00CB065F"/>
    <w:rsid w:val="00CB0684"/>
    <w:rsid w:val="00CB0D7D"/>
    <w:rsid w:val="00CB2F3E"/>
    <w:rsid w:val="00CB395F"/>
    <w:rsid w:val="00CB3F5A"/>
    <w:rsid w:val="00CB49C4"/>
    <w:rsid w:val="00CB53B4"/>
    <w:rsid w:val="00CC10FF"/>
    <w:rsid w:val="00CC159D"/>
    <w:rsid w:val="00CC3718"/>
    <w:rsid w:val="00CC3C4B"/>
    <w:rsid w:val="00CC4F81"/>
    <w:rsid w:val="00CC558E"/>
    <w:rsid w:val="00CC5B62"/>
    <w:rsid w:val="00CD075D"/>
    <w:rsid w:val="00CD30BD"/>
    <w:rsid w:val="00CD3964"/>
    <w:rsid w:val="00CD3AA1"/>
    <w:rsid w:val="00CD3D63"/>
    <w:rsid w:val="00CD5A1E"/>
    <w:rsid w:val="00CD5B07"/>
    <w:rsid w:val="00CE017D"/>
    <w:rsid w:val="00CE08E7"/>
    <w:rsid w:val="00CE1148"/>
    <w:rsid w:val="00CE1533"/>
    <w:rsid w:val="00CE17AC"/>
    <w:rsid w:val="00CE383F"/>
    <w:rsid w:val="00CE3E01"/>
    <w:rsid w:val="00CE4E1D"/>
    <w:rsid w:val="00CE532C"/>
    <w:rsid w:val="00CE53E1"/>
    <w:rsid w:val="00CE610C"/>
    <w:rsid w:val="00CF0F88"/>
    <w:rsid w:val="00CF310F"/>
    <w:rsid w:val="00CF4AE5"/>
    <w:rsid w:val="00CF4B29"/>
    <w:rsid w:val="00CF4B5B"/>
    <w:rsid w:val="00CF5592"/>
    <w:rsid w:val="00D00A37"/>
    <w:rsid w:val="00D02704"/>
    <w:rsid w:val="00D03D33"/>
    <w:rsid w:val="00D040E4"/>
    <w:rsid w:val="00D05520"/>
    <w:rsid w:val="00D05F1A"/>
    <w:rsid w:val="00D06302"/>
    <w:rsid w:val="00D07151"/>
    <w:rsid w:val="00D15B2F"/>
    <w:rsid w:val="00D15F15"/>
    <w:rsid w:val="00D16A3A"/>
    <w:rsid w:val="00D17596"/>
    <w:rsid w:val="00D177A3"/>
    <w:rsid w:val="00D20840"/>
    <w:rsid w:val="00D21CEE"/>
    <w:rsid w:val="00D2200A"/>
    <w:rsid w:val="00D22538"/>
    <w:rsid w:val="00D24832"/>
    <w:rsid w:val="00D27870"/>
    <w:rsid w:val="00D27CD2"/>
    <w:rsid w:val="00D31313"/>
    <w:rsid w:val="00D32B6C"/>
    <w:rsid w:val="00D32CF7"/>
    <w:rsid w:val="00D336BC"/>
    <w:rsid w:val="00D33FD4"/>
    <w:rsid w:val="00D34575"/>
    <w:rsid w:val="00D35C97"/>
    <w:rsid w:val="00D3695C"/>
    <w:rsid w:val="00D41213"/>
    <w:rsid w:val="00D41FE3"/>
    <w:rsid w:val="00D45D13"/>
    <w:rsid w:val="00D51C0D"/>
    <w:rsid w:val="00D5249D"/>
    <w:rsid w:val="00D53713"/>
    <w:rsid w:val="00D5468D"/>
    <w:rsid w:val="00D5583E"/>
    <w:rsid w:val="00D61E49"/>
    <w:rsid w:val="00D6251D"/>
    <w:rsid w:val="00D635A3"/>
    <w:rsid w:val="00D658F5"/>
    <w:rsid w:val="00D67FE8"/>
    <w:rsid w:val="00D72814"/>
    <w:rsid w:val="00D7793E"/>
    <w:rsid w:val="00D81A25"/>
    <w:rsid w:val="00D855DC"/>
    <w:rsid w:val="00D905D2"/>
    <w:rsid w:val="00D90D2A"/>
    <w:rsid w:val="00D911AB"/>
    <w:rsid w:val="00D93672"/>
    <w:rsid w:val="00D94246"/>
    <w:rsid w:val="00D95A22"/>
    <w:rsid w:val="00D960A2"/>
    <w:rsid w:val="00D96E96"/>
    <w:rsid w:val="00DA16CD"/>
    <w:rsid w:val="00DA281D"/>
    <w:rsid w:val="00DA3B5E"/>
    <w:rsid w:val="00DA5FAE"/>
    <w:rsid w:val="00DA70BA"/>
    <w:rsid w:val="00DB2745"/>
    <w:rsid w:val="00DB5EE5"/>
    <w:rsid w:val="00DB63A8"/>
    <w:rsid w:val="00DB6757"/>
    <w:rsid w:val="00DC2428"/>
    <w:rsid w:val="00DC2484"/>
    <w:rsid w:val="00DC25E1"/>
    <w:rsid w:val="00DC2899"/>
    <w:rsid w:val="00DC2A3F"/>
    <w:rsid w:val="00DC2CE5"/>
    <w:rsid w:val="00DC51ED"/>
    <w:rsid w:val="00DC564A"/>
    <w:rsid w:val="00DC5ECA"/>
    <w:rsid w:val="00DC7B9F"/>
    <w:rsid w:val="00DD0273"/>
    <w:rsid w:val="00DD047E"/>
    <w:rsid w:val="00DD04E5"/>
    <w:rsid w:val="00DD34CE"/>
    <w:rsid w:val="00DD6BA3"/>
    <w:rsid w:val="00DE09E5"/>
    <w:rsid w:val="00DE30D7"/>
    <w:rsid w:val="00DE32AC"/>
    <w:rsid w:val="00DE3F15"/>
    <w:rsid w:val="00DE491C"/>
    <w:rsid w:val="00DE4FC2"/>
    <w:rsid w:val="00DE69DE"/>
    <w:rsid w:val="00DE70A6"/>
    <w:rsid w:val="00DE7CA9"/>
    <w:rsid w:val="00DF1778"/>
    <w:rsid w:val="00DF5D2D"/>
    <w:rsid w:val="00DF7010"/>
    <w:rsid w:val="00DF74AD"/>
    <w:rsid w:val="00E003D2"/>
    <w:rsid w:val="00E01F01"/>
    <w:rsid w:val="00E02A11"/>
    <w:rsid w:val="00E02A9B"/>
    <w:rsid w:val="00E03258"/>
    <w:rsid w:val="00E0428A"/>
    <w:rsid w:val="00E04C64"/>
    <w:rsid w:val="00E053C0"/>
    <w:rsid w:val="00E05517"/>
    <w:rsid w:val="00E06C1B"/>
    <w:rsid w:val="00E070F1"/>
    <w:rsid w:val="00E073FC"/>
    <w:rsid w:val="00E075D9"/>
    <w:rsid w:val="00E07F7C"/>
    <w:rsid w:val="00E109CF"/>
    <w:rsid w:val="00E110D7"/>
    <w:rsid w:val="00E11261"/>
    <w:rsid w:val="00E12AC1"/>
    <w:rsid w:val="00E14012"/>
    <w:rsid w:val="00E1441B"/>
    <w:rsid w:val="00E15DFE"/>
    <w:rsid w:val="00E15F17"/>
    <w:rsid w:val="00E17FA6"/>
    <w:rsid w:val="00E219E1"/>
    <w:rsid w:val="00E22B6B"/>
    <w:rsid w:val="00E23714"/>
    <w:rsid w:val="00E2410F"/>
    <w:rsid w:val="00E25611"/>
    <w:rsid w:val="00E27382"/>
    <w:rsid w:val="00E31A96"/>
    <w:rsid w:val="00E31EBD"/>
    <w:rsid w:val="00E3381E"/>
    <w:rsid w:val="00E358AA"/>
    <w:rsid w:val="00E35DB7"/>
    <w:rsid w:val="00E366C5"/>
    <w:rsid w:val="00E36D68"/>
    <w:rsid w:val="00E4247C"/>
    <w:rsid w:val="00E42AC3"/>
    <w:rsid w:val="00E43F6B"/>
    <w:rsid w:val="00E4684A"/>
    <w:rsid w:val="00E46E35"/>
    <w:rsid w:val="00E47561"/>
    <w:rsid w:val="00E47CC7"/>
    <w:rsid w:val="00E50483"/>
    <w:rsid w:val="00E55CE7"/>
    <w:rsid w:val="00E5791D"/>
    <w:rsid w:val="00E57E2C"/>
    <w:rsid w:val="00E600C2"/>
    <w:rsid w:val="00E6075B"/>
    <w:rsid w:val="00E60EE4"/>
    <w:rsid w:val="00E61E55"/>
    <w:rsid w:val="00E61F69"/>
    <w:rsid w:val="00E63A1F"/>
    <w:rsid w:val="00E71883"/>
    <w:rsid w:val="00E72D9E"/>
    <w:rsid w:val="00E73C51"/>
    <w:rsid w:val="00E748AD"/>
    <w:rsid w:val="00E752DA"/>
    <w:rsid w:val="00E81273"/>
    <w:rsid w:val="00E85B91"/>
    <w:rsid w:val="00E90229"/>
    <w:rsid w:val="00E909C6"/>
    <w:rsid w:val="00E91891"/>
    <w:rsid w:val="00E92331"/>
    <w:rsid w:val="00E93A11"/>
    <w:rsid w:val="00E9439D"/>
    <w:rsid w:val="00E9481A"/>
    <w:rsid w:val="00E94B1F"/>
    <w:rsid w:val="00E97505"/>
    <w:rsid w:val="00E97DB1"/>
    <w:rsid w:val="00E97F29"/>
    <w:rsid w:val="00EA06E6"/>
    <w:rsid w:val="00EA269F"/>
    <w:rsid w:val="00EA2FC7"/>
    <w:rsid w:val="00EA4C4D"/>
    <w:rsid w:val="00EA680A"/>
    <w:rsid w:val="00EA77DC"/>
    <w:rsid w:val="00EB02E6"/>
    <w:rsid w:val="00EB501A"/>
    <w:rsid w:val="00EB6573"/>
    <w:rsid w:val="00EB6C1E"/>
    <w:rsid w:val="00EB7342"/>
    <w:rsid w:val="00EB796C"/>
    <w:rsid w:val="00EC029A"/>
    <w:rsid w:val="00EC1651"/>
    <w:rsid w:val="00EC1FF4"/>
    <w:rsid w:val="00EC22F5"/>
    <w:rsid w:val="00EC31C9"/>
    <w:rsid w:val="00EC45F8"/>
    <w:rsid w:val="00EC48DD"/>
    <w:rsid w:val="00EC4936"/>
    <w:rsid w:val="00EC6562"/>
    <w:rsid w:val="00EC6B5D"/>
    <w:rsid w:val="00EC7B16"/>
    <w:rsid w:val="00EC7E29"/>
    <w:rsid w:val="00ED1C71"/>
    <w:rsid w:val="00ED4926"/>
    <w:rsid w:val="00ED6448"/>
    <w:rsid w:val="00ED6BDC"/>
    <w:rsid w:val="00ED768A"/>
    <w:rsid w:val="00EE019A"/>
    <w:rsid w:val="00EE04DF"/>
    <w:rsid w:val="00EE1000"/>
    <w:rsid w:val="00EE3E06"/>
    <w:rsid w:val="00EE6DC9"/>
    <w:rsid w:val="00EF04CE"/>
    <w:rsid w:val="00EF2A44"/>
    <w:rsid w:val="00EF3875"/>
    <w:rsid w:val="00EF3C19"/>
    <w:rsid w:val="00EF6022"/>
    <w:rsid w:val="00EF7774"/>
    <w:rsid w:val="00EF7C20"/>
    <w:rsid w:val="00EF7E6F"/>
    <w:rsid w:val="00F028B9"/>
    <w:rsid w:val="00F0579A"/>
    <w:rsid w:val="00F06882"/>
    <w:rsid w:val="00F06BE0"/>
    <w:rsid w:val="00F0739B"/>
    <w:rsid w:val="00F07A66"/>
    <w:rsid w:val="00F1003F"/>
    <w:rsid w:val="00F1061F"/>
    <w:rsid w:val="00F138B6"/>
    <w:rsid w:val="00F14DA7"/>
    <w:rsid w:val="00F16108"/>
    <w:rsid w:val="00F1657A"/>
    <w:rsid w:val="00F16958"/>
    <w:rsid w:val="00F16D29"/>
    <w:rsid w:val="00F1749A"/>
    <w:rsid w:val="00F211B8"/>
    <w:rsid w:val="00F24895"/>
    <w:rsid w:val="00F24C0D"/>
    <w:rsid w:val="00F25102"/>
    <w:rsid w:val="00F2515D"/>
    <w:rsid w:val="00F254BC"/>
    <w:rsid w:val="00F25CD7"/>
    <w:rsid w:val="00F272D2"/>
    <w:rsid w:val="00F27ABA"/>
    <w:rsid w:val="00F3123E"/>
    <w:rsid w:val="00F32125"/>
    <w:rsid w:val="00F32916"/>
    <w:rsid w:val="00F3310F"/>
    <w:rsid w:val="00F341C5"/>
    <w:rsid w:val="00F36DD4"/>
    <w:rsid w:val="00F402B2"/>
    <w:rsid w:val="00F41446"/>
    <w:rsid w:val="00F416F8"/>
    <w:rsid w:val="00F41E9D"/>
    <w:rsid w:val="00F41EE5"/>
    <w:rsid w:val="00F43F31"/>
    <w:rsid w:val="00F45243"/>
    <w:rsid w:val="00F4757F"/>
    <w:rsid w:val="00F50D4F"/>
    <w:rsid w:val="00F52354"/>
    <w:rsid w:val="00F53576"/>
    <w:rsid w:val="00F53802"/>
    <w:rsid w:val="00F56FA9"/>
    <w:rsid w:val="00F604E0"/>
    <w:rsid w:val="00F61282"/>
    <w:rsid w:val="00F6146E"/>
    <w:rsid w:val="00F6508C"/>
    <w:rsid w:val="00F65485"/>
    <w:rsid w:val="00F65EA7"/>
    <w:rsid w:val="00F66523"/>
    <w:rsid w:val="00F67E0F"/>
    <w:rsid w:val="00F700E5"/>
    <w:rsid w:val="00F7040F"/>
    <w:rsid w:val="00F71BEC"/>
    <w:rsid w:val="00F72981"/>
    <w:rsid w:val="00F81F95"/>
    <w:rsid w:val="00F8270A"/>
    <w:rsid w:val="00F83D4A"/>
    <w:rsid w:val="00F85B1A"/>
    <w:rsid w:val="00F86942"/>
    <w:rsid w:val="00F86DDD"/>
    <w:rsid w:val="00F872E2"/>
    <w:rsid w:val="00F87CFF"/>
    <w:rsid w:val="00F9020F"/>
    <w:rsid w:val="00F910E4"/>
    <w:rsid w:val="00F9158C"/>
    <w:rsid w:val="00F918EA"/>
    <w:rsid w:val="00F91E50"/>
    <w:rsid w:val="00F92BE9"/>
    <w:rsid w:val="00FA1B88"/>
    <w:rsid w:val="00FA1FE0"/>
    <w:rsid w:val="00FA3483"/>
    <w:rsid w:val="00FA4246"/>
    <w:rsid w:val="00FA642A"/>
    <w:rsid w:val="00FB0EF6"/>
    <w:rsid w:val="00FB1476"/>
    <w:rsid w:val="00FB41C8"/>
    <w:rsid w:val="00FB4522"/>
    <w:rsid w:val="00FB45F3"/>
    <w:rsid w:val="00FB4A57"/>
    <w:rsid w:val="00FB51FD"/>
    <w:rsid w:val="00FC14B1"/>
    <w:rsid w:val="00FC3BF1"/>
    <w:rsid w:val="00FC5A69"/>
    <w:rsid w:val="00FC74A8"/>
    <w:rsid w:val="00FD0B95"/>
    <w:rsid w:val="00FD1745"/>
    <w:rsid w:val="00FD1C6F"/>
    <w:rsid w:val="00FD39D8"/>
    <w:rsid w:val="00FD5F02"/>
    <w:rsid w:val="00FD6278"/>
    <w:rsid w:val="00FE1515"/>
    <w:rsid w:val="00FE3546"/>
    <w:rsid w:val="00FE477D"/>
    <w:rsid w:val="00FE4C22"/>
    <w:rsid w:val="00FE4E66"/>
    <w:rsid w:val="00FE5AAB"/>
    <w:rsid w:val="00FE7801"/>
    <w:rsid w:val="00FF1D9B"/>
    <w:rsid w:val="00FF380A"/>
    <w:rsid w:val="00FF3D91"/>
    <w:rsid w:val="00FF5D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727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72E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2E47"/>
    <w:pPr>
      <w:keepNext/>
      <w:keepLines/>
      <w:spacing w:before="480" w:line="276" w:lineRule="auto"/>
      <w:outlineLvl w:val="0"/>
    </w:pPr>
    <w:rPr>
      <w:rFonts w:ascii="Calibri" w:eastAsia="ＭＳ ゴシック" w:hAnsi="Calibri"/>
      <w:b/>
      <w:bCs/>
      <w:color w:val="365F91"/>
      <w:sz w:val="28"/>
      <w:szCs w:val="28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8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6882"/>
    <w:rPr>
      <w:rFonts w:ascii="Lucida Grande" w:hAnsi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A6D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DF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D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DF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A6DF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C0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567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206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670"/>
  </w:style>
  <w:style w:type="character" w:styleId="PageNumber">
    <w:name w:val="page number"/>
    <w:basedOn w:val="DefaultParagraphFont"/>
    <w:uiPriority w:val="99"/>
    <w:semiHidden/>
    <w:unhideWhenUsed/>
    <w:rsid w:val="00420670"/>
  </w:style>
  <w:style w:type="paragraph" w:styleId="Header">
    <w:name w:val="header"/>
    <w:basedOn w:val="Normal"/>
    <w:link w:val="HeaderChar"/>
    <w:uiPriority w:val="99"/>
    <w:unhideWhenUsed/>
    <w:rsid w:val="004206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670"/>
  </w:style>
  <w:style w:type="paragraph" w:styleId="Revision">
    <w:name w:val="Revision"/>
    <w:hidden/>
    <w:uiPriority w:val="99"/>
    <w:semiHidden/>
    <w:rsid w:val="0030350B"/>
    <w:rPr>
      <w:lang w:eastAsia="ja-JP"/>
    </w:rPr>
  </w:style>
  <w:style w:type="character" w:styleId="Hyperlink">
    <w:name w:val="Hyperlink"/>
    <w:uiPriority w:val="99"/>
    <w:unhideWhenUsed/>
    <w:rsid w:val="0039100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E2D34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A2E47"/>
  </w:style>
  <w:style w:type="character" w:customStyle="1" w:styleId="EndnoteTextChar">
    <w:name w:val="Endnote Text Char"/>
    <w:basedOn w:val="DefaultParagraphFont"/>
    <w:link w:val="EndnoteText"/>
    <w:uiPriority w:val="99"/>
    <w:rsid w:val="002A2E47"/>
  </w:style>
  <w:style w:type="character" w:styleId="EndnoteReference">
    <w:name w:val="endnote reference"/>
    <w:uiPriority w:val="99"/>
    <w:unhideWhenUsed/>
    <w:rsid w:val="002A2E47"/>
    <w:rPr>
      <w:vertAlign w:val="superscript"/>
    </w:rPr>
  </w:style>
  <w:style w:type="character" w:customStyle="1" w:styleId="Heading1Char">
    <w:name w:val="Heading 1 Char"/>
    <w:link w:val="Heading1"/>
    <w:uiPriority w:val="9"/>
    <w:rsid w:val="002A2E47"/>
    <w:rPr>
      <w:rFonts w:ascii="Calibri" w:eastAsia="ＭＳ ゴシック" w:hAnsi="Calibri" w:cs="Times New Roman"/>
      <w:b/>
      <w:bCs/>
      <w:color w:val="365F91"/>
      <w:sz w:val="28"/>
      <w:szCs w:val="28"/>
      <w:lang w:eastAsia="en-US"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139F1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5139F1"/>
    <w:rPr>
      <w:rFonts w:ascii="Lucida Grande" w:hAnsi="Lucida Grande" w:cs="Lucida Grande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72E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2E47"/>
    <w:pPr>
      <w:keepNext/>
      <w:keepLines/>
      <w:spacing w:before="480" w:line="276" w:lineRule="auto"/>
      <w:outlineLvl w:val="0"/>
    </w:pPr>
    <w:rPr>
      <w:rFonts w:ascii="Calibri" w:eastAsia="ＭＳ ゴシック" w:hAnsi="Calibri"/>
      <w:b/>
      <w:bCs/>
      <w:color w:val="365F91"/>
      <w:sz w:val="28"/>
      <w:szCs w:val="28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8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6882"/>
    <w:rPr>
      <w:rFonts w:ascii="Lucida Grande" w:hAnsi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A6D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DF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D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DF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A6DF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C0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567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206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670"/>
  </w:style>
  <w:style w:type="character" w:styleId="PageNumber">
    <w:name w:val="page number"/>
    <w:basedOn w:val="DefaultParagraphFont"/>
    <w:uiPriority w:val="99"/>
    <w:semiHidden/>
    <w:unhideWhenUsed/>
    <w:rsid w:val="00420670"/>
  </w:style>
  <w:style w:type="paragraph" w:styleId="Header">
    <w:name w:val="header"/>
    <w:basedOn w:val="Normal"/>
    <w:link w:val="HeaderChar"/>
    <w:uiPriority w:val="99"/>
    <w:unhideWhenUsed/>
    <w:rsid w:val="004206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670"/>
  </w:style>
  <w:style w:type="paragraph" w:styleId="Revision">
    <w:name w:val="Revision"/>
    <w:hidden/>
    <w:uiPriority w:val="99"/>
    <w:semiHidden/>
    <w:rsid w:val="0030350B"/>
    <w:rPr>
      <w:lang w:eastAsia="ja-JP"/>
    </w:rPr>
  </w:style>
  <w:style w:type="character" w:styleId="Hyperlink">
    <w:name w:val="Hyperlink"/>
    <w:uiPriority w:val="99"/>
    <w:unhideWhenUsed/>
    <w:rsid w:val="0039100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E2D34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A2E47"/>
  </w:style>
  <w:style w:type="character" w:customStyle="1" w:styleId="EndnoteTextChar">
    <w:name w:val="Endnote Text Char"/>
    <w:basedOn w:val="DefaultParagraphFont"/>
    <w:link w:val="EndnoteText"/>
    <w:uiPriority w:val="99"/>
    <w:rsid w:val="002A2E47"/>
  </w:style>
  <w:style w:type="character" w:styleId="EndnoteReference">
    <w:name w:val="endnote reference"/>
    <w:uiPriority w:val="99"/>
    <w:unhideWhenUsed/>
    <w:rsid w:val="002A2E47"/>
    <w:rPr>
      <w:vertAlign w:val="superscript"/>
    </w:rPr>
  </w:style>
  <w:style w:type="character" w:customStyle="1" w:styleId="Heading1Char">
    <w:name w:val="Heading 1 Char"/>
    <w:link w:val="Heading1"/>
    <w:uiPriority w:val="9"/>
    <w:rsid w:val="002A2E47"/>
    <w:rPr>
      <w:rFonts w:ascii="Calibri" w:eastAsia="ＭＳ ゴシック" w:hAnsi="Calibri" w:cs="Times New Roman"/>
      <w:b/>
      <w:bCs/>
      <w:color w:val="365F91"/>
      <w:sz w:val="28"/>
      <w:szCs w:val="28"/>
      <w:lang w:eastAsia="en-US"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139F1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5139F1"/>
    <w:rPr>
      <w:rFonts w:ascii="Lucida Grande" w:hAnsi="Lucida Grande" w:cs="Lucida Grande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ECA0B2-E531-F743-97F6-8DC108CC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1733</Words>
  <Characters>9883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ToxStrategies, Inc.</Company>
  <LinksUpToDate>false</LinksUpToDate>
  <CharactersWithSpaces>11593</CharactersWithSpaces>
  <SharedDoc>false</SharedDoc>
  <HyperlinkBase/>
  <HLinks>
    <vt:vector size="6" baseType="variant">
      <vt:variant>
        <vt:i4>3735663</vt:i4>
      </vt:variant>
      <vt:variant>
        <vt:i4>0</vt:i4>
      </vt:variant>
      <vt:variant>
        <vt:i4>0</vt:i4>
      </vt:variant>
      <vt:variant>
        <vt:i4>5</vt:i4>
      </vt:variant>
      <vt:variant>
        <vt:lpwstr>mailto:ckirman@summittoxicology.com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Hays</dc:creator>
  <cp:keywords/>
  <dc:description/>
  <cp:lastModifiedBy>christopher kirman</cp:lastModifiedBy>
  <cp:revision>4</cp:revision>
  <cp:lastPrinted>2012-05-18T21:15:00Z</cp:lastPrinted>
  <dcterms:created xsi:type="dcterms:W3CDTF">2012-10-07T20:25:00Z</dcterms:created>
  <dcterms:modified xsi:type="dcterms:W3CDTF">2012-10-09T17:32:00Z</dcterms:modified>
</cp:coreProperties>
</file>